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4D73" w:rsidRDefault="00004D73" w:rsidP="00004D73">
      <w:pPr>
        <w:spacing w:line="360" w:lineRule="auto"/>
        <w:jc w:val="center"/>
        <w:rPr>
          <w:rFonts w:ascii="黑体" w:eastAsia="黑体" w:hAnsi="黑体" w:cs="黑体"/>
          <w:sz w:val="32"/>
          <w:szCs w:val="32"/>
        </w:rPr>
      </w:pPr>
      <w:r>
        <w:rPr>
          <w:rFonts w:ascii="黑体" w:eastAsia="黑体" w:hAnsi="黑体" w:cs="黑体" w:hint="eastAsia"/>
          <w:kern w:val="0"/>
          <w:sz w:val="32"/>
          <w:szCs w:val="32"/>
        </w:rPr>
        <w:t>《</w:t>
      </w:r>
      <w:r>
        <w:rPr>
          <w:rFonts w:ascii="黑体" w:eastAsia="黑体" w:hAnsi="黑体" w:cs="黑体" w:hint="eastAsia"/>
          <w:sz w:val="32"/>
          <w:szCs w:val="32"/>
        </w:rPr>
        <w:t xml:space="preserve">食品安全国家标准 </w:t>
      </w:r>
      <w:r>
        <w:rPr>
          <w:rFonts w:ascii="黑体" w:eastAsia="黑体" w:hAnsi="黑体" w:cs="黑体" w:hint="eastAsia"/>
          <w:kern w:val="0"/>
          <w:sz w:val="32"/>
          <w:szCs w:val="32"/>
        </w:rPr>
        <w:t>调味面制品》</w:t>
      </w:r>
      <w:r>
        <w:rPr>
          <w:rFonts w:ascii="黑体" w:eastAsia="黑体" w:hAnsi="黑体" w:cs="黑体" w:hint="eastAsia"/>
          <w:sz w:val="32"/>
          <w:szCs w:val="32"/>
        </w:rPr>
        <w:t>（征求意见稿）</w:t>
      </w:r>
    </w:p>
    <w:p w:rsidR="00004D73" w:rsidRDefault="00004D73" w:rsidP="00004D73">
      <w:pPr>
        <w:spacing w:line="360" w:lineRule="auto"/>
        <w:jc w:val="center"/>
        <w:rPr>
          <w:rFonts w:ascii="黑体" w:eastAsia="黑体" w:hAnsi="黑体" w:cs="黑体" w:hint="eastAsia"/>
          <w:kern w:val="0"/>
          <w:sz w:val="32"/>
          <w:szCs w:val="32"/>
        </w:rPr>
      </w:pPr>
      <w:r>
        <w:rPr>
          <w:rFonts w:ascii="黑体" w:eastAsia="黑体" w:hAnsi="黑体" w:cs="黑体" w:hint="eastAsia"/>
          <w:kern w:val="0"/>
          <w:sz w:val="32"/>
          <w:szCs w:val="32"/>
        </w:rPr>
        <w:t>编制说明</w:t>
      </w:r>
    </w:p>
    <w:p w:rsidR="00004D73" w:rsidRDefault="00004D73" w:rsidP="00004D73">
      <w:pPr>
        <w:spacing w:line="320" w:lineRule="exact"/>
        <w:jc w:val="left"/>
        <w:rPr>
          <w:rFonts w:eastAsia="黑体" w:hint="eastAsia"/>
          <w:bCs/>
          <w:kern w:val="0"/>
          <w:szCs w:val="21"/>
        </w:rPr>
      </w:pPr>
      <w:r>
        <w:rPr>
          <w:rFonts w:eastAsia="黑体" w:hint="eastAsia"/>
          <w:bCs/>
          <w:kern w:val="0"/>
          <w:szCs w:val="21"/>
        </w:rPr>
        <w:t>一、标准起草的基本情况</w:t>
      </w:r>
    </w:p>
    <w:p w:rsidR="00004D73" w:rsidRDefault="00004D73" w:rsidP="00004D73">
      <w:pPr>
        <w:spacing w:line="320" w:lineRule="exact"/>
        <w:ind w:firstLineChars="200" w:firstLine="420"/>
        <w:jc w:val="left"/>
        <w:rPr>
          <w:szCs w:val="21"/>
        </w:rPr>
      </w:pPr>
      <w:r>
        <w:rPr>
          <w:rFonts w:hint="eastAsia"/>
          <w:bCs/>
          <w:szCs w:val="21"/>
        </w:rPr>
        <w:t>《食品安全国家标准</w:t>
      </w:r>
      <w:r>
        <w:rPr>
          <w:bCs/>
          <w:szCs w:val="21"/>
        </w:rPr>
        <w:t xml:space="preserve"> </w:t>
      </w:r>
      <w:r>
        <w:rPr>
          <w:rFonts w:hint="eastAsia"/>
          <w:bCs/>
          <w:szCs w:val="21"/>
        </w:rPr>
        <w:t>调味面制品》的起草任务来自原国家卫生计生委食品安全国家标准制（修）订项目（项目编号：</w:t>
      </w:r>
      <w:r>
        <w:rPr>
          <w:bCs/>
          <w:szCs w:val="21"/>
        </w:rPr>
        <w:t>spaq-2016-115</w:t>
      </w:r>
      <w:r>
        <w:rPr>
          <w:rFonts w:hint="eastAsia"/>
          <w:bCs/>
          <w:szCs w:val="21"/>
        </w:rPr>
        <w:t>），</w:t>
      </w:r>
      <w:r>
        <w:rPr>
          <w:rFonts w:hint="eastAsia"/>
          <w:szCs w:val="21"/>
        </w:rPr>
        <w:t>起草单位为</w:t>
      </w:r>
      <w:r>
        <w:rPr>
          <w:rFonts w:hint="eastAsia"/>
          <w:bCs/>
          <w:szCs w:val="21"/>
        </w:rPr>
        <w:t>河南省口岸食品检验检测所、中国食品科学技术学会、安徽省食品药品检验研究院和重庆市食品药品检验检测研究院。</w:t>
      </w:r>
    </w:p>
    <w:p w:rsidR="00004D73" w:rsidRDefault="00004D73" w:rsidP="00004D73">
      <w:pPr>
        <w:spacing w:line="320" w:lineRule="exact"/>
        <w:ind w:firstLine="420"/>
        <w:rPr>
          <w:rFonts w:eastAsia="黑体"/>
          <w:szCs w:val="21"/>
        </w:rPr>
      </w:pPr>
      <w:r>
        <w:rPr>
          <w:rFonts w:hint="eastAsia"/>
          <w:bCs/>
          <w:szCs w:val="21"/>
        </w:rPr>
        <w:t>自</w:t>
      </w:r>
      <w:r>
        <w:rPr>
          <w:bCs/>
          <w:szCs w:val="21"/>
        </w:rPr>
        <w:t>2016</w:t>
      </w:r>
      <w:r>
        <w:rPr>
          <w:rFonts w:hint="eastAsia"/>
          <w:bCs/>
          <w:szCs w:val="21"/>
        </w:rPr>
        <w:t>年</w:t>
      </w:r>
      <w:r>
        <w:rPr>
          <w:bCs/>
          <w:szCs w:val="21"/>
        </w:rPr>
        <w:t>12</w:t>
      </w:r>
      <w:r>
        <w:rPr>
          <w:rFonts w:hint="eastAsia"/>
          <w:bCs/>
          <w:szCs w:val="21"/>
        </w:rPr>
        <w:t>月</w:t>
      </w:r>
      <w:r>
        <w:rPr>
          <w:bCs/>
          <w:szCs w:val="21"/>
        </w:rPr>
        <w:t>8</w:t>
      </w:r>
      <w:r>
        <w:rPr>
          <w:rFonts w:hint="eastAsia"/>
          <w:bCs/>
          <w:szCs w:val="21"/>
        </w:rPr>
        <w:t>日在郑州召开项目启动会以来，项目组在国家食品药品监督管理</w:t>
      </w:r>
      <w:proofErr w:type="gramStart"/>
      <w:r>
        <w:rPr>
          <w:rFonts w:hint="eastAsia"/>
          <w:bCs/>
          <w:szCs w:val="21"/>
        </w:rPr>
        <w:t>总局科标司</w:t>
      </w:r>
      <w:proofErr w:type="gramEnd"/>
      <w:r>
        <w:rPr>
          <w:rFonts w:hint="eastAsia"/>
          <w:bCs/>
          <w:szCs w:val="21"/>
        </w:rPr>
        <w:t>的指导下推进标准起草各项工作：（</w:t>
      </w:r>
      <w:r>
        <w:rPr>
          <w:bCs/>
          <w:szCs w:val="21"/>
        </w:rPr>
        <w:t>1</w:t>
      </w:r>
      <w:r>
        <w:rPr>
          <w:rFonts w:hint="eastAsia"/>
          <w:bCs/>
          <w:szCs w:val="21"/>
        </w:rPr>
        <w:t>）查询和收集调味面制品相关的产品标准以及部分属性相近产品的食品安全国家标准，对主要的标准技术指标进行比对分析；（</w:t>
      </w:r>
      <w:r>
        <w:rPr>
          <w:bCs/>
          <w:szCs w:val="21"/>
        </w:rPr>
        <w:t>2</w:t>
      </w:r>
      <w:r>
        <w:rPr>
          <w:rFonts w:hint="eastAsia"/>
          <w:bCs/>
          <w:szCs w:val="21"/>
        </w:rPr>
        <w:t>）开展调味面制品行业调研，</w:t>
      </w:r>
      <w:r>
        <w:rPr>
          <w:rFonts w:hint="eastAsia"/>
          <w:szCs w:val="21"/>
        </w:rPr>
        <w:t>听取行业协会、生产企业、研究院所、检验检测机构等对标准起草的建议，向卫生、质监等系统进行专业咨询；（</w:t>
      </w:r>
      <w:r>
        <w:rPr>
          <w:szCs w:val="21"/>
        </w:rPr>
        <w:t>3</w:t>
      </w:r>
      <w:r>
        <w:rPr>
          <w:rFonts w:hint="eastAsia"/>
          <w:szCs w:val="21"/>
        </w:rPr>
        <w:t>）开展</w:t>
      </w:r>
      <w:r>
        <w:rPr>
          <w:rFonts w:hint="eastAsia"/>
          <w:bCs/>
          <w:szCs w:val="21"/>
        </w:rPr>
        <w:t>样品采集和监测，收集分析数据</w:t>
      </w:r>
      <w:r>
        <w:rPr>
          <w:rFonts w:hint="eastAsia"/>
          <w:szCs w:val="21"/>
        </w:rPr>
        <w:t>；（</w:t>
      </w:r>
      <w:r>
        <w:rPr>
          <w:szCs w:val="21"/>
        </w:rPr>
        <w:t>4</w:t>
      </w:r>
      <w:r>
        <w:rPr>
          <w:rFonts w:hint="eastAsia"/>
          <w:szCs w:val="21"/>
        </w:rPr>
        <w:t>）多次在郑州、北京等地组织召开工作会议，研究讨论标准起草工作事宜；（</w:t>
      </w:r>
      <w:r>
        <w:rPr>
          <w:szCs w:val="21"/>
        </w:rPr>
        <w:t>5</w:t>
      </w:r>
      <w:r>
        <w:rPr>
          <w:rFonts w:hint="eastAsia"/>
          <w:szCs w:val="21"/>
        </w:rPr>
        <w:t>）在全国食药监管系统内征求意见。在上述工作基础上，对收集到的意见进行仔细研究并对标准草案进行相应的修改，形成征求意见稿。</w:t>
      </w:r>
    </w:p>
    <w:p w:rsidR="00004D73" w:rsidRDefault="00004D73" w:rsidP="00004D73">
      <w:pPr>
        <w:spacing w:line="320" w:lineRule="exact"/>
        <w:rPr>
          <w:rFonts w:eastAsia="黑体"/>
          <w:szCs w:val="21"/>
        </w:rPr>
      </w:pPr>
      <w:r>
        <w:rPr>
          <w:rFonts w:eastAsia="黑体" w:hint="eastAsia"/>
          <w:bCs/>
          <w:kern w:val="0"/>
          <w:szCs w:val="21"/>
        </w:rPr>
        <w:t>二、</w:t>
      </w:r>
      <w:r>
        <w:rPr>
          <w:rFonts w:eastAsia="黑体" w:hint="eastAsia"/>
          <w:szCs w:val="21"/>
        </w:rPr>
        <w:t>标准的重要内容</w:t>
      </w:r>
    </w:p>
    <w:p w:rsidR="00004D73" w:rsidRDefault="00004D73" w:rsidP="00004D73">
      <w:pPr>
        <w:spacing w:line="320" w:lineRule="exact"/>
        <w:ind w:firstLineChars="200" w:firstLine="420"/>
        <w:rPr>
          <w:szCs w:val="21"/>
        </w:rPr>
      </w:pPr>
      <w:r>
        <w:rPr>
          <w:rFonts w:hint="eastAsia"/>
          <w:szCs w:val="21"/>
        </w:rPr>
        <w:t>本标准是新制定的食品安全国家标准。主要内容如下：</w:t>
      </w:r>
    </w:p>
    <w:p w:rsidR="00004D73" w:rsidRDefault="00004D73" w:rsidP="00004D73">
      <w:pPr>
        <w:spacing w:line="320" w:lineRule="exact"/>
        <w:ind w:firstLineChars="200" w:firstLine="420"/>
        <w:rPr>
          <w:rFonts w:eastAsia="黑体"/>
          <w:szCs w:val="21"/>
        </w:rPr>
      </w:pPr>
      <w:r>
        <w:rPr>
          <w:rFonts w:eastAsia="黑体" w:hint="eastAsia"/>
          <w:szCs w:val="21"/>
        </w:rPr>
        <w:t>（一）范围</w:t>
      </w:r>
    </w:p>
    <w:p w:rsidR="00004D73" w:rsidRDefault="00004D73" w:rsidP="00004D73">
      <w:pPr>
        <w:spacing w:line="320" w:lineRule="exact"/>
        <w:ind w:firstLineChars="200" w:firstLine="420"/>
        <w:jc w:val="left"/>
        <w:rPr>
          <w:kern w:val="0"/>
          <w:szCs w:val="21"/>
        </w:rPr>
      </w:pPr>
      <w:r>
        <w:rPr>
          <w:rFonts w:hint="eastAsia"/>
        </w:rPr>
        <w:t>本标准适用范围为预包装调味面制品。</w:t>
      </w:r>
    </w:p>
    <w:p w:rsidR="00004D73" w:rsidRDefault="00004D73" w:rsidP="00004D73">
      <w:pPr>
        <w:spacing w:line="320" w:lineRule="exact"/>
        <w:ind w:firstLineChars="200" w:firstLine="420"/>
        <w:rPr>
          <w:rFonts w:eastAsia="黑体"/>
          <w:szCs w:val="21"/>
        </w:rPr>
      </w:pPr>
      <w:r>
        <w:rPr>
          <w:rFonts w:eastAsia="黑体" w:hint="eastAsia"/>
          <w:szCs w:val="21"/>
        </w:rPr>
        <w:t>（二）术语和定义</w:t>
      </w:r>
    </w:p>
    <w:p w:rsidR="00004D73" w:rsidRDefault="00004D73" w:rsidP="00004D73">
      <w:pPr>
        <w:spacing w:line="320" w:lineRule="exact"/>
        <w:ind w:firstLine="420"/>
        <w:rPr>
          <w:szCs w:val="21"/>
        </w:rPr>
      </w:pPr>
      <w:r>
        <w:rPr>
          <w:rFonts w:hint="eastAsia"/>
          <w:szCs w:val="21"/>
        </w:rPr>
        <w:t>基于对调味面制品原辅料、生产加工工艺、产品特点、食用方式等要素的特征分析，考虑产品原辅料的多样性和加工工艺的发展创新空间，保证产品定义的包容性、适用性和先进性，规定调味面制品的定义为“</w:t>
      </w:r>
      <w:r>
        <w:rPr>
          <w:rFonts w:hint="eastAsia"/>
          <w:color w:val="000000"/>
          <w:szCs w:val="22"/>
        </w:rPr>
        <w:t>以</w:t>
      </w:r>
      <w:r>
        <w:rPr>
          <w:rFonts w:hint="eastAsia"/>
          <w:color w:val="000000"/>
        </w:rPr>
        <w:t>小麦粉和／或其他谷物粉等为主要原料，添加食用油脂等辅料，经配料、挤压熟制、成型、调味、包装等工艺加工而成具有一定韧性的即食食品。</w:t>
      </w:r>
      <w:r>
        <w:rPr>
          <w:rFonts w:hint="eastAsia"/>
          <w:szCs w:val="21"/>
        </w:rPr>
        <w:t>”。</w:t>
      </w:r>
    </w:p>
    <w:p w:rsidR="00004D73" w:rsidRDefault="00004D73" w:rsidP="00004D73">
      <w:pPr>
        <w:spacing w:line="320" w:lineRule="exact"/>
        <w:ind w:firstLineChars="200" w:firstLine="420"/>
        <w:rPr>
          <w:rFonts w:eastAsia="黑体"/>
          <w:szCs w:val="21"/>
        </w:rPr>
      </w:pPr>
      <w:r>
        <w:rPr>
          <w:rFonts w:eastAsia="黑体" w:hint="eastAsia"/>
          <w:szCs w:val="21"/>
        </w:rPr>
        <w:t>（三）技术要求</w:t>
      </w:r>
    </w:p>
    <w:p w:rsidR="00004D73" w:rsidRDefault="00004D73" w:rsidP="00004D73">
      <w:pPr>
        <w:numPr>
          <w:ilvl w:val="0"/>
          <w:numId w:val="1"/>
        </w:numPr>
        <w:spacing w:line="320" w:lineRule="exact"/>
        <w:ind w:firstLine="420"/>
        <w:rPr>
          <w:szCs w:val="21"/>
        </w:rPr>
      </w:pPr>
      <w:r>
        <w:rPr>
          <w:rFonts w:hint="eastAsia"/>
          <w:szCs w:val="21"/>
        </w:rPr>
        <w:t>感官要求</w:t>
      </w:r>
    </w:p>
    <w:p w:rsidR="00004D73" w:rsidRDefault="00004D73" w:rsidP="00004D73">
      <w:pPr>
        <w:spacing w:line="320" w:lineRule="exact"/>
        <w:ind w:left="420"/>
        <w:rPr>
          <w:szCs w:val="21"/>
        </w:rPr>
      </w:pPr>
      <w:r>
        <w:rPr>
          <w:rFonts w:hint="eastAsia"/>
          <w:szCs w:val="21"/>
        </w:rPr>
        <w:t>本标准从色泽、滋味和气味、状态三个方面对调味面制品的感官进行了规定。</w:t>
      </w:r>
    </w:p>
    <w:p w:rsidR="00004D73" w:rsidRDefault="00004D73" w:rsidP="00004D73">
      <w:pPr>
        <w:spacing w:line="320" w:lineRule="exact"/>
        <w:ind w:firstLineChars="200" w:firstLine="420"/>
        <w:jc w:val="left"/>
        <w:rPr>
          <w:kern w:val="0"/>
          <w:szCs w:val="21"/>
        </w:rPr>
      </w:pPr>
      <w:r>
        <w:rPr>
          <w:kern w:val="0"/>
          <w:szCs w:val="21"/>
        </w:rPr>
        <w:t>2</w:t>
      </w:r>
      <w:r>
        <w:rPr>
          <w:rFonts w:hint="eastAsia"/>
          <w:kern w:val="0"/>
          <w:szCs w:val="21"/>
        </w:rPr>
        <w:t>、</w:t>
      </w:r>
      <w:r>
        <w:rPr>
          <w:rFonts w:hint="eastAsia"/>
          <w:szCs w:val="21"/>
        </w:rPr>
        <w:t>理化指标</w:t>
      </w:r>
    </w:p>
    <w:p w:rsidR="00004D73" w:rsidRDefault="00004D73" w:rsidP="00004D73">
      <w:pPr>
        <w:spacing w:line="320" w:lineRule="exact"/>
        <w:ind w:firstLineChars="200" w:firstLine="420"/>
        <w:rPr>
          <w:szCs w:val="21"/>
        </w:rPr>
      </w:pPr>
      <w:r>
        <w:rPr>
          <w:rFonts w:hint="eastAsia"/>
          <w:szCs w:val="21"/>
        </w:rPr>
        <w:t>鉴于水分活度对调味面制品产品质量安全的重要影响，规定了水分技术要求。针对公众关注的调味面制品高盐、高油等问题，为了着力贯彻落实并认真</w:t>
      </w:r>
      <w:proofErr w:type="gramStart"/>
      <w:r>
        <w:rPr>
          <w:rFonts w:hint="eastAsia"/>
          <w:szCs w:val="21"/>
        </w:rPr>
        <w:t>践行</w:t>
      </w:r>
      <w:proofErr w:type="gramEnd"/>
      <w:r>
        <w:rPr>
          <w:rFonts w:hint="eastAsia"/>
          <w:szCs w:val="21"/>
        </w:rPr>
        <w:t>《</w:t>
      </w:r>
      <w:r>
        <w:rPr>
          <w:szCs w:val="21"/>
        </w:rPr>
        <w:t>“</w:t>
      </w:r>
      <w:r>
        <w:rPr>
          <w:rFonts w:hint="eastAsia"/>
          <w:szCs w:val="21"/>
        </w:rPr>
        <w:t>健康中国</w:t>
      </w:r>
      <w:r>
        <w:rPr>
          <w:szCs w:val="21"/>
        </w:rPr>
        <w:t>2030”</w:t>
      </w:r>
      <w:r>
        <w:rPr>
          <w:rFonts w:hint="eastAsia"/>
          <w:szCs w:val="21"/>
        </w:rPr>
        <w:t>规划纲要》、《国民营养计划（</w:t>
      </w:r>
      <w:r>
        <w:rPr>
          <w:szCs w:val="21"/>
        </w:rPr>
        <w:t>2017-2030</w:t>
      </w:r>
      <w:r>
        <w:rPr>
          <w:rFonts w:hint="eastAsia"/>
          <w:szCs w:val="21"/>
        </w:rPr>
        <w:t>年）》和《中国居民膳食指南》，引领调味面制品向营养健康方向发展，规定了</w:t>
      </w:r>
      <w:r>
        <w:rPr>
          <w:rFonts w:hint="eastAsia"/>
          <w:kern w:val="0"/>
          <w:szCs w:val="21"/>
        </w:rPr>
        <w:t>氯化物</w:t>
      </w:r>
      <w:r>
        <w:rPr>
          <w:rFonts w:hAnsi="宋体" w:hint="eastAsia"/>
          <w:kern w:val="0"/>
          <w:szCs w:val="21"/>
        </w:rPr>
        <w:t>（以</w:t>
      </w:r>
      <w:proofErr w:type="spellStart"/>
      <w:r>
        <w:rPr>
          <w:kern w:val="0"/>
          <w:szCs w:val="21"/>
        </w:rPr>
        <w:t>Cl</w:t>
      </w:r>
      <w:proofErr w:type="spellEnd"/>
      <w:r>
        <w:rPr>
          <w:kern w:val="0"/>
          <w:szCs w:val="21"/>
          <w:vertAlign w:val="superscript"/>
        </w:rPr>
        <w:t>-</w:t>
      </w:r>
      <w:r>
        <w:rPr>
          <w:rFonts w:hAnsi="宋体" w:hint="eastAsia"/>
          <w:kern w:val="0"/>
          <w:szCs w:val="21"/>
        </w:rPr>
        <w:t>计）</w:t>
      </w:r>
      <w:r>
        <w:rPr>
          <w:rFonts w:hint="eastAsia"/>
          <w:szCs w:val="21"/>
        </w:rPr>
        <w:t>、脂肪技术要求。此外，调味面制品是添加了食用油脂的食品，还规定了酸价、过氧化值限量指标。上述各项指标的具体限量值是根据监测结果而定，详见表</w:t>
      </w:r>
      <w:r>
        <w:rPr>
          <w:szCs w:val="21"/>
        </w:rPr>
        <w:t>1</w:t>
      </w:r>
      <w:r>
        <w:rPr>
          <w:rFonts w:hint="eastAsia"/>
          <w:szCs w:val="21"/>
        </w:rPr>
        <w:t>。</w:t>
      </w:r>
    </w:p>
    <w:p w:rsidR="00004D73" w:rsidRDefault="00004D73" w:rsidP="00004D73">
      <w:pPr>
        <w:spacing w:line="320" w:lineRule="exact"/>
        <w:jc w:val="center"/>
        <w:rPr>
          <w:rFonts w:ascii="黑体" w:eastAsia="黑体" w:hAnsi="黑体"/>
          <w:color w:val="000000"/>
          <w:szCs w:val="21"/>
        </w:rPr>
      </w:pPr>
      <w:r>
        <w:rPr>
          <w:rFonts w:ascii="黑体" w:eastAsia="黑体" w:hAnsi="黑体" w:hint="eastAsia"/>
          <w:color w:val="000000"/>
          <w:szCs w:val="21"/>
        </w:rPr>
        <w:t>表1 理化指标</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70"/>
        <w:gridCol w:w="1842"/>
        <w:gridCol w:w="3310"/>
      </w:tblGrid>
      <w:tr w:rsidR="00004D73" w:rsidTr="00004D73">
        <w:tc>
          <w:tcPr>
            <w:tcW w:w="1977" w:type="pct"/>
            <w:tcBorders>
              <w:top w:val="single" w:sz="4" w:space="0" w:color="auto"/>
              <w:left w:val="single" w:sz="4" w:space="0" w:color="auto"/>
              <w:bottom w:val="single" w:sz="4" w:space="0" w:color="auto"/>
              <w:right w:val="single" w:sz="4" w:space="0" w:color="auto"/>
            </w:tcBorders>
            <w:hideMark/>
          </w:tcPr>
          <w:p w:rsidR="00004D73" w:rsidRDefault="00004D73">
            <w:pPr>
              <w:spacing w:line="320" w:lineRule="exact"/>
              <w:jc w:val="center"/>
              <w:rPr>
                <w:color w:val="000000"/>
                <w:sz w:val="18"/>
                <w:szCs w:val="18"/>
              </w:rPr>
            </w:pPr>
            <w:r>
              <w:rPr>
                <w:rFonts w:hint="eastAsia"/>
                <w:color w:val="000000"/>
                <w:sz w:val="18"/>
                <w:szCs w:val="18"/>
              </w:rPr>
              <w:t>项</w:t>
            </w:r>
            <w:r>
              <w:rPr>
                <w:color w:val="000000"/>
                <w:sz w:val="18"/>
                <w:szCs w:val="18"/>
              </w:rPr>
              <w:t xml:space="preserve">      </w:t>
            </w:r>
            <w:r>
              <w:rPr>
                <w:rFonts w:hint="eastAsia"/>
                <w:color w:val="000000"/>
                <w:sz w:val="18"/>
                <w:szCs w:val="18"/>
              </w:rPr>
              <w:t>目</w:t>
            </w:r>
          </w:p>
        </w:tc>
        <w:tc>
          <w:tcPr>
            <w:tcW w:w="1081" w:type="pct"/>
            <w:tcBorders>
              <w:top w:val="single" w:sz="4" w:space="0" w:color="auto"/>
              <w:left w:val="single" w:sz="4" w:space="0" w:color="auto"/>
              <w:bottom w:val="single" w:sz="4" w:space="0" w:color="auto"/>
              <w:right w:val="single" w:sz="4" w:space="0" w:color="auto"/>
            </w:tcBorders>
            <w:hideMark/>
          </w:tcPr>
          <w:p w:rsidR="00004D73" w:rsidRDefault="00004D73">
            <w:pPr>
              <w:spacing w:line="320" w:lineRule="exact"/>
              <w:jc w:val="center"/>
              <w:rPr>
                <w:color w:val="000000"/>
                <w:sz w:val="18"/>
                <w:szCs w:val="18"/>
              </w:rPr>
            </w:pPr>
            <w:r>
              <w:rPr>
                <w:rFonts w:hint="eastAsia"/>
                <w:color w:val="000000"/>
                <w:sz w:val="18"/>
                <w:szCs w:val="18"/>
              </w:rPr>
              <w:t>指</w:t>
            </w:r>
            <w:r>
              <w:rPr>
                <w:color w:val="000000"/>
                <w:sz w:val="18"/>
                <w:szCs w:val="18"/>
              </w:rPr>
              <w:t xml:space="preserve">      </w:t>
            </w:r>
            <w:r>
              <w:rPr>
                <w:rFonts w:hint="eastAsia"/>
                <w:color w:val="000000"/>
                <w:sz w:val="18"/>
                <w:szCs w:val="18"/>
              </w:rPr>
              <w:t>标</w:t>
            </w:r>
          </w:p>
        </w:tc>
        <w:tc>
          <w:tcPr>
            <w:tcW w:w="1943" w:type="pct"/>
            <w:tcBorders>
              <w:top w:val="single" w:sz="4" w:space="0" w:color="auto"/>
              <w:left w:val="single" w:sz="4" w:space="0" w:color="auto"/>
              <w:bottom w:val="single" w:sz="4" w:space="0" w:color="auto"/>
              <w:right w:val="single" w:sz="4" w:space="0" w:color="auto"/>
            </w:tcBorders>
            <w:hideMark/>
          </w:tcPr>
          <w:p w:rsidR="00004D73" w:rsidRDefault="00004D73">
            <w:pPr>
              <w:spacing w:line="320" w:lineRule="exact"/>
              <w:jc w:val="center"/>
              <w:rPr>
                <w:color w:val="000000"/>
                <w:sz w:val="18"/>
                <w:szCs w:val="18"/>
              </w:rPr>
            </w:pPr>
            <w:r>
              <w:rPr>
                <w:rFonts w:hint="eastAsia"/>
                <w:color w:val="000000"/>
                <w:sz w:val="18"/>
                <w:szCs w:val="18"/>
              </w:rPr>
              <w:t>检验方法</w:t>
            </w:r>
          </w:p>
        </w:tc>
      </w:tr>
      <w:tr w:rsidR="00004D73" w:rsidTr="00004D73">
        <w:tc>
          <w:tcPr>
            <w:tcW w:w="1977" w:type="pct"/>
            <w:tcBorders>
              <w:top w:val="single" w:sz="4" w:space="0" w:color="auto"/>
              <w:left w:val="single" w:sz="4" w:space="0" w:color="auto"/>
              <w:bottom w:val="single" w:sz="4" w:space="0" w:color="auto"/>
              <w:right w:val="single" w:sz="4" w:space="0" w:color="auto"/>
            </w:tcBorders>
            <w:hideMark/>
          </w:tcPr>
          <w:p w:rsidR="00004D73" w:rsidRDefault="00004D73">
            <w:pPr>
              <w:spacing w:line="320" w:lineRule="exact"/>
              <w:rPr>
                <w:color w:val="000000"/>
                <w:sz w:val="18"/>
                <w:szCs w:val="18"/>
              </w:rPr>
            </w:pPr>
            <w:r>
              <w:rPr>
                <w:rFonts w:hint="eastAsia"/>
                <w:color w:val="000000"/>
                <w:sz w:val="18"/>
                <w:szCs w:val="18"/>
              </w:rPr>
              <w:t>水分</w:t>
            </w:r>
            <w:r>
              <w:rPr>
                <w:color w:val="000000"/>
                <w:sz w:val="18"/>
                <w:szCs w:val="18"/>
              </w:rPr>
              <w:t>/</w:t>
            </w:r>
            <w:r>
              <w:rPr>
                <w:rFonts w:hint="eastAsia"/>
                <w:color w:val="000000"/>
                <w:sz w:val="18"/>
                <w:szCs w:val="18"/>
              </w:rPr>
              <w:t>（</w:t>
            </w:r>
            <w:r>
              <w:rPr>
                <w:color w:val="000000"/>
                <w:sz w:val="18"/>
                <w:szCs w:val="18"/>
              </w:rPr>
              <w:t>g/100g</w:t>
            </w:r>
            <w:r>
              <w:rPr>
                <w:rFonts w:hint="eastAsia"/>
                <w:color w:val="000000"/>
                <w:sz w:val="18"/>
                <w:szCs w:val="18"/>
              </w:rPr>
              <w:t>）</w:t>
            </w:r>
            <w:r>
              <w:rPr>
                <w:color w:val="000000"/>
                <w:sz w:val="18"/>
                <w:szCs w:val="18"/>
              </w:rPr>
              <w:tab/>
              <w:t xml:space="preserve">              ≤</w:t>
            </w:r>
          </w:p>
        </w:tc>
        <w:tc>
          <w:tcPr>
            <w:tcW w:w="1081" w:type="pct"/>
            <w:tcBorders>
              <w:top w:val="single" w:sz="4" w:space="0" w:color="auto"/>
              <w:left w:val="single" w:sz="4" w:space="0" w:color="auto"/>
              <w:bottom w:val="single" w:sz="4" w:space="0" w:color="auto"/>
              <w:right w:val="single" w:sz="4" w:space="0" w:color="auto"/>
            </w:tcBorders>
            <w:hideMark/>
          </w:tcPr>
          <w:p w:rsidR="00004D73" w:rsidRDefault="00004D73">
            <w:pPr>
              <w:spacing w:line="320" w:lineRule="exact"/>
              <w:jc w:val="center"/>
              <w:rPr>
                <w:color w:val="000000"/>
                <w:sz w:val="18"/>
                <w:szCs w:val="18"/>
              </w:rPr>
            </w:pPr>
            <w:r>
              <w:rPr>
                <w:color w:val="000000"/>
                <w:sz w:val="18"/>
                <w:szCs w:val="18"/>
              </w:rPr>
              <w:t>24</w:t>
            </w:r>
          </w:p>
        </w:tc>
        <w:tc>
          <w:tcPr>
            <w:tcW w:w="1943" w:type="pct"/>
            <w:tcBorders>
              <w:top w:val="single" w:sz="4" w:space="0" w:color="auto"/>
              <w:left w:val="single" w:sz="4" w:space="0" w:color="auto"/>
              <w:bottom w:val="single" w:sz="4" w:space="0" w:color="auto"/>
              <w:right w:val="single" w:sz="4" w:space="0" w:color="auto"/>
            </w:tcBorders>
            <w:hideMark/>
          </w:tcPr>
          <w:p w:rsidR="00004D73" w:rsidRDefault="00004D73">
            <w:pPr>
              <w:spacing w:line="320" w:lineRule="exact"/>
              <w:jc w:val="center"/>
              <w:rPr>
                <w:color w:val="000000"/>
                <w:sz w:val="18"/>
                <w:szCs w:val="18"/>
              </w:rPr>
            </w:pPr>
            <w:r>
              <w:rPr>
                <w:color w:val="000000"/>
                <w:sz w:val="18"/>
                <w:szCs w:val="18"/>
              </w:rPr>
              <w:t>GB 5009.3</w:t>
            </w:r>
            <w:r>
              <w:rPr>
                <w:rFonts w:hint="eastAsia"/>
                <w:color w:val="000000"/>
                <w:sz w:val="18"/>
                <w:szCs w:val="18"/>
              </w:rPr>
              <w:t>直接干燥法</w:t>
            </w:r>
          </w:p>
        </w:tc>
      </w:tr>
      <w:tr w:rsidR="00004D73" w:rsidTr="00004D73">
        <w:tc>
          <w:tcPr>
            <w:tcW w:w="1977" w:type="pct"/>
            <w:tcBorders>
              <w:top w:val="single" w:sz="4" w:space="0" w:color="auto"/>
              <w:left w:val="single" w:sz="4" w:space="0" w:color="auto"/>
              <w:bottom w:val="single" w:sz="4" w:space="0" w:color="auto"/>
              <w:right w:val="single" w:sz="4" w:space="0" w:color="auto"/>
            </w:tcBorders>
            <w:hideMark/>
          </w:tcPr>
          <w:p w:rsidR="00004D73" w:rsidRDefault="00004D73">
            <w:pPr>
              <w:spacing w:line="320" w:lineRule="exact"/>
              <w:rPr>
                <w:color w:val="000000"/>
                <w:sz w:val="18"/>
                <w:szCs w:val="18"/>
              </w:rPr>
            </w:pPr>
            <w:r>
              <w:rPr>
                <w:rFonts w:hint="eastAsia"/>
                <w:color w:val="000000"/>
                <w:sz w:val="18"/>
                <w:szCs w:val="18"/>
              </w:rPr>
              <w:t>脂肪</w:t>
            </w:r>
            <w:r>
              <w:rPr>
                <w:color w:val="000000"/>
                <w:sz w:val="18"/>
                <w:szCs w:val="18"/>
              </w:rPr>
              <w:t>/</w:t>
            </w:r>
            <w:r>
              <w:rPr>
                <w:rFonts w:hint="eastAsia"/>
                <w:color w:val="000000"/>
                <w:sz w:val="18"/>
                <w:szCs w:val="18"/>
              </w:rPr>
              <w:t>（</w:t>
            </w:r>
            <w:r>
              <w:rPr>
                <w:color w:val="000000"/>
                <w:sz w:val="18"/>
                <w:szCs w:val="18"/>
              </w:rPr>
              <w:t>g/100g</w:t>
            </w:r>
            <w:r>
              <w:rPr>
                <w:rFonts w:hint="eastAsia"/>
                <w:color w:val="000000"/>
                <w:sz w:val="18"/>
                <w:szCs w:val="18"/>
              </w:rPr>
              <w:t>）</w:t>
            </w:r>
            <w:r>
              <w:rPr>
                <w:color w:val="000000"/>
                <w:sz w:val="18"/>
                <w:szCs w:val="18"/>
              </w:rPr>
              <w:tab/>
              <w:t xml:space="preserve">              ≤</w:t>
            </w:r>
          </w:p>
        </w:tc>
        <w:tc>
          <w:tcPr>
            <w:tcW w:w="1081" w:type="pct"/>
            <w:tcBorders>
              <w:top w:val="single" w:sz="4" w:space="0" w:color="auto"/>
              <w:left w:val="single" w:sz="4" w:space="0" w:color="auto"/>
              <w:bottom w:val="single" w:sz="4" w:space="0" w:color="auto"/>
              <w:right w:val="single" w:sz="4" w:space="0" w:color="auto"/>
            </w:tcBorders>
            <w:hideMark/>
          </w:tcPr>
          <w:p w:rsidR="00004D73" w:rsidRDefault="00004D73">
            <w:pPr>
              <w:spacing w:line="320" w:lineRule="exact"/>
              <w:jc w:val="center"/>
              <w:rPr>
                <w:color w:val="000000"/>
                <w:sz w:val="18"/>
                <w:szCs w:val="18"/>
              </w:rPr>
            </w:pPr>
            <w:r>
              <w:rPr>
                <w:color w:val="000000"/>
                <w:sz w:val="18"/>
                <w:szCs w:val="18"/>
              </w:rPr>
              <w:t>25</w:t>
            </w:r>
          </w:p>
        </w:tc>
        <w:tc>
          <w:tcPr>
            <w:tcW w:w="1943" w:type="pct"/>
            <w:tcBorders>
              <w:top w:val="single" w:sz="4" w:space="0" w:color="auto"/>
              <w:left w:val="single" w:sz="4" w:space="0" w:color="auto"/>
              <w:bottom w:val="single" w:sz="4" w:space="0" w:color="auto"/>
              <w:right w:val="single" w:sz="4" w:space="0" w:color="auto"/>
            </w:tcBorders>
            <w:hideMark/>
          </w:tcPr>
          <w:p w:rsidR="00004D73" w:rsidRDefault="00004D73">
            <w:pPr>
              <w:spacing w:line="320" w:lineRule="exact"/>
              <w:jc w:val="center"/>
              <w:rPr>
                <w:color w:val="000000"/>
                <w:sz w:val="18"/>
                <w:szCs w:val="18"/>
              </w:rPr>
            </w:pPr>
            <w:r>
              <w:rPr>
                <w:color w:val="000000"/>
                <w:sz w:val="18"/>
                <w:szCs w:val="18"/>
              </w:rPr>
              <w:t>GB 5009.6</w:t>
            </w:r>
            <w:r>
              <w:rPr>
                <w:rFonts w:hint="eastAsia"/>
                <w:color w:val="000000"/>
                <w:sz w:val="18"/>
                <w:szCs w:val="18"/>
              </w:rPr>
              <w:t>索氏抽提法</w:t>
            </w:r>
          </w:p>
        </w:tc>
      </w:tr>
      <w:tr w:rsidR="00004D73" w:rsidTr="00004D73">
        <w:tc>
          <w:tcPr>
            <w:tcW w:w="1977" w:type="pct"/>
            <w:tcBorders>
              <w:top w:val="single" w:sz="4" w:space="0" w:color="auto"/>
              <w:left w:val="single" w:sz="4" w:space="0" w:color="auto"/>
              <w:bottom w:val="single" w:sz="4" w:space="0" w:color="auto"/>
              <w:right w:val="single" w:sz="4" w:space="0" w:color="auto"/>
            </w:tcBorders>
            <w:hideMark/>
          </w:tcPr>
          <w:p w:rsidR="00004D73" w:rsidRDefault="00004D73">
            <w:pPr>
              <w:spacing w:line="320" w:lineRule="exact"/>
              <w:rPr>
                <w:color w:val="000000"/>
                <w:sz w:val="18"/>
                <w:szCs w:val="18"/>
              </w:rPr>
            </w:pPr>
            <w:r>
              <w:rPr>
                <w:rFonts w:hint="eastAsia"/>
                <w:kern w:val="0"/>
                <w:sz w:val="18"/>
                <w:szCs w:val="18"/>
              </w:rPr>
              <w:t>氯化物（以</w:t>
            </w:r>
            <w:proofErr w:type="spellStart"/>
            <w:r>
              <w:rPr>
                <w:kern w:val="0"/>
                <w:sz w:val="18"/>
                <w:szCs w:val="18"/>
              </w:rPr>
              <w:t>Cl</w:t>
            </w:r>
            <w:proofErr w:type="spellEnd"/>
            <w:r>
              <w:rPr>
                <w:kern w:val="0"/>
                <w:sz w:val="18"/>
                <w:szCs w:val="18"/>
                <w:vertAlign w:val="superscript"/>
              </w:rPr>
              <w:t>-</w:t>
            </w:r>
            <w:r>
              <w:rPr>
                <w:rFonts w:hint="eastAsia"/>
                <w:kern w:val="0"/>
                <w:sz w:val="18"/>
                <w:szCs w:val="18"/>
              </w:rPr>
              <w:t>计）</w:t>
            </w:r>
            <w:r>
              <w:rPr>
                <w:kern w:val="0"/>
                <w:sz w:val="18"/>
                <w:szCs w:val="18"/>
              </w:rPr>
              <w:t>/</w:t>
            </w:r>
            <w:r>
              <w:rPr>
                <w:rFonts w:hint="eastAsia"/>
                <w:kern w:val="0"/>
                <w:sz w:val="18"/>
                <w:szCs w:val="18"/>
              </w:rPr>
              <w:t>（</w:t>
            </w:r>
            <w:r>
              <w:rPr>
                <w:kern w:val="0"/>
                <w:sz w:val="18"/>
                <w:szCs w:val="18"/>
              </w:rPr>
              <w:t>%</w:t>
            </w:r>
            <w:r>
              <w:rPr>
                <w:rFonts w:hint="eastAsia"/>
                <w:kern w:val="0"/>
                <w:sz w:val="18"/>
                <w:szCs w:val="18"/>
              </w:rPr>
              <w:t>）</w:t>
            </w:r>
            <w:r>
              <w:rPr>
                <w:kern w:val="0"/>
                <w:sz w:val="18"/>
                <w:szCs w:val="18"/>
              </w:rPr>
              <w:t xml:space="preserve">          </w:t>
            </w:r>
            <w:r>
              <w:rPr>
                <w:color w:val="000000"/>
                <w:sz w:val="18"/>
                <w:szCs w:val="18"/>
              </w:rPr>
              <w:t>≤</w:t>
            </w:r>
          </w:p>
        </w:tc>
        <w:tc>
          <w:tcPr>
            <w:tcW w:w="1081" w:type="pct"/>
            <w:tcBorders>
              <w:top w:val="single" w:sz="4" w:space="0" w:color="auto"/>
              <w:left w:val="single" w:sz="4" w:space="0" w:color="auto"/>
              <w:bottom w:val="single" w:sz="4" w:space="0" w:color="auto"/>
              <w:right w:val="single" w:sz="4" w:space="0" w:color="auto"/>
            </w:tcBorders>
            <w:hideMark/>
          </w:tcPr>
          <w:p w:rsidR="00004D73" w:rsidRDefault="00004D73">
            <w:pPr>
              <w:spacing w:line="320" w:lineRule="exact"/>
              <w:jc w:val="center"/>
              <w:rPr>
                <w:color w:val="000000"/>
                <w:sz w:val="18"/>
                <w:szCs w:val="18"/>
              </w:rPr>
            </w:pPr>
            <w:r>
              <w:rPr>
                <w:color w:val="000000"/>
                <w:sz w:val="18"/>
                <w:szCs w:val="18"/>
              </w:rPr>
              <w:t>4.2</w:t>
            </w:r>
          </w:p>
        </w:tc>
        <w:tc>
          <w:tcPr>
            <w:tcW w:w="1943" w:type="pct"/>
            <w:tcBorders>
              <w:top w:val="single" w:sz="4" w:space="0" w:color="auto"/>
              <w:left w:val="single" w:sz="4" w:space="0" w:color="auto"/>
              <w:bottom w:val="single" w:sz="4" w:space="0" w:color="auto"/>
              <w:right w:val="single" w:sz="4" w:space="0" w:color="auto"/>
            </w:tcBorders>
            <w:hideMark/>
          </w:tcPr>
          <w:p w:rsidR="00004D73" w:rsidRDefault="00004D73">
            <w:pPr>
              <w:spacing w:line="320" w:lineRule="exact"/>
              <w:jc w:val="center"/>
              <w:rPr>
                <w:color w:val="000000"/>
                <w:sz w:val="18"/>
                <w:szCs w:val="18"/>
              </w:rPr>
            </w:pPr>
            <w:r>
              <w:rPr>
                <w:color w:val="000000"/>
                <w:sz w:val="18"/>
                <w:szCs w:val="18"/>
              </w:rPr>
              <w:t>GB 5009.44</w:t>
            </w:r>
            <w:r>
              <w:rPr>
                <w:rFonts w:hint="eastAsia"/>
                <w:color w:val="000000"/>
                <w:sz w:val="18"/>
                <w:szCs w:val="18"/>
              </w:rPr>
              <w:t>电位滴定法</w:t>
            </w:r>
          </w:p>
        </w:tc>
      </w:tr>
      <w:tr w:rsidR="00004D73" w:rsidTr="00004D73">
        <w:tc>
          <w:tcPr>
            <w:tcW w:w="1977" w:type="pct"/>
            <w:tcBorders>
              <w:top w:val="single" w:sz="4" w:space="0" w:color="auto"/>
              <w:left w:val="single" w:sz="4" w:space="0" w:color="auto"/>
              <w:bottom w:val="single" w:sz="4" w:space="0" w:color="auto"/>
              <w:right w:val="single" w:sz="4" w:space="0" w:color="auto"/>
            </w:tcBorders>
            <w:vAlign w:val="center"/>
            <w:hideMark/>
          </w:tcPr>
          <w:p w:rsidR="00004D73" w:rsidRDefault="00004D73">
            <w:pPr>
              <w:spacing w:line="320" w:lineRule="exact"/>
              <w:rPr>
                <w:color w:val="000000"/>
                <w:sz w:val="18"/>
                <w:szCs w:val="18"/>
              </w:rPr>
            </w:pPr>
            <w:r>
              <w:rPr>
                <w:rFonts w:hint="eastAsia"/>
                <w:color w:val="000000"/>
                <w:sz w:val="18"/>
                <w:szCs w:val="18"/>
              </w:rPr>
              <w:t>酸价</w:t>
            </w:r>
            <w:r>
              <w:rPr>
                <w:color w:val="000000"/>
                <w:sz w:val="18"/>
                <w:szCs w:val="18"/>
              </w:rPr>
              <w:t>/</w:t>
            </w:r>
            <w:r>
              <w:rPr>
                <w:rFonts w:hint="eastAsia"/>
                <w:color w:val="000000"/>
                <w:sz w:val="18"/>
                <w:szCs w:val="18"/>
              </w:rPr>
              <w:t>（</w:t>
            </w:r>
            <w:r>
              <w:rPr>
                <w:color w:val="000000"/>
                <w:sz w:val="18"/>
                <w:szCs w:val="18"/>
              </w:rPr>
              <w:t>mg/g</w:t>
            </w:r>
            <w:r>
              <w:rPr>
                <w:rFonts w:hint="eastAsia"/>
                <w:color w:val="000000"/>
                <w:sz w:val="18"/>
                <w:szCs w:val="18"/>
              </w:rPr>
              <w:t>）</w:t>
            </w:r>
            <w:r>
              <w:rPr>
                <w:color w:val="000000"/>
                <w:sz w:val="18"/>
                <w:szCs w:val="18"/>
              </w:rPr>
              <w:t xml:space="preserve">                    ≤</w:t>
            </w:r>
          </w:p>
        </w:tc>
        <w:tc>
          <w:tcPr>
            <w:tcW w:w="1081" w:type="pct"/>
            <w:tcBorders>
              <w:top w:val="single" w:sz="4" w:space="0" w:color="auto"/>
              <w:left w:val="single" w:sz="4" w:space="0" w:color="auto"/>
              <w:bottom w:val="single" w:sz="4" w:space="0" w:color="auto"/>
              <w:right w:val="single" w:sz="4" w:space="0" w:color="auto"/>
            </w:tcBorders>
            <w:hideMark/>
          </w:tcPr>
          <w:p w:rsidR="00004D73" w:rsidRDefault="00004D73">
            <w:pPr>
              <w:spacing w:line="320" w:lineRule="exact"/>
              <w:jc w:val="center"/>
              <w:rPr>
                <w:color w:val="000000"/>
                <w:sz w:val="18"/>
                <w:szCs w:val="18"/>
              </w:rPr>
            </w:pPr>
            <w:r>
              <w:rPr>
                <w:color w:val="000000"/>
                <w:sz w:val="18"/>
                <w:szCs w:val="18"/>
              </w:rPr>
              <w:t>3.0</w:t>
            </w:r>
          </w:p>
        </w:tc>
        <w:tc>
          <w:tcPr>
            <w:tcW w:w="1943" w:type="pct"/>
            <w:tcBorders>
              <w:top w:val="single" w:sz="4" w:space="0" w:color="auto"/>
              <w:left w:val="single" w:sz="4" w:space="0" w:color="auto"/>
              <w:bottom w:val="single" w:sz="4" w:space="0" w:color="auto"/>
              <w:right w:val="single" w:sz="4" w:space="0" w:color="auto"/>
            </w:tcBorders>
            <w:hideMark/>
          </w:tcPr>
          <w:p w:rsidR="00004D73" w:rsidRDefault="00004D73">
            <w:pPr>
              <w:spacing w:line="320" w:lineRule="exact"/>
              <w:jc w:val="center"/>
              <w:rPr>
                <w:color w:val="000000"/>
                <w:sz w:val="18"/>
                <w:szCs w:val="18"/>
              </w:rPr>
            </w:pPr>
            <w:r>
              <w:rPr>
                <w:color w:val="000000"/>
                <w:sz w:val="18"/>
                <w:szCs w:val="18"/>
              </w:rPr>
              <w:t>GB 5009.229</w:t>
            </w:r>
            <w:r>
              <w:rPr>
                <w:rFonts w:hint="eastAsia"/>
                <w:color w:val="000000"/>
                <w:sz w:val="18"/>
                <w:szCs w:val="18"/>
              </w:rPr>
              <w:t>冷溶剂自动电位滴定法</w:t>
            </w:r>
          </w:p>
        </w:tc>
      </w:tr>
      <w:tr w:rsidR="00004D73" w:rsidTr="00004D73">
        <w:tc>
          <w:tcPr>
            <w:tcW w:w="1977" w:type="pct"/>
            <w:tcBorders>
              <w:top w:val="single" w:sz="4" w:space="0" w:color="auto"/>
              <w:left w:val="single" w:sz="4" w:space="0" w:color="auto"/>
              <w:bottom w:val="single" w:sz="4" w:space="0" w:color="auto"/>
              <w:right w:val="single" w:sz="4" w:space="0" w:color="auto"/>
            </w:tcBorders>
            <w:vAlign w:val="center"/>
            <w:hideMark/>
          </w:tcPr>
          <w:p w:rsidR="00004D73" w:rsidRDefault="00004D73">
            <w:pPr>
              <w:spacing w:line="320" w:lineRule="exact"/>
              <w:rPr>
                <w:color w:val="000000"/>
                <w:sz w:val="18"/>
                <w:szCs w:val="18"/>
              </w:rPr>
            </w:pPr>
            <w:r>
              <w:rPr>
                <w:rFonts w:hint="eastAsia"/>
                <w:color w:val="000000"/>
                <w:sz w:val="18"/>
                <w:szCs w:val="18"/>
              </w:rPr>
              <w:t>过氧化值</w:t>
            </w:r>
            <w:r>
              <w:rPr>
                <w:color w:val="000000"/>
                <w:sz w:val="18"/>
                <w:szCs w:val="18"/>
              </w:rPr>
              <w:t>/</w:t>
            </w:r>
            <w:r>
              <w:rPr>
                <w:rFonts w:hint="eastAsia"/>
                <w:color w:val="000000"/>
                <w:sz w:val="18"/>
                <w:szCs w:val="18"/>
              </w:rPr>
              <w:t>（</w:t>
            </w:r>
            <w:r>
              <w:rPr>
                <w:color w:val="000000"/>
                <w:sz w:val="18"/>
                <w:szCs w:val="18"/>
              </w:rPr>
              <w:t>g/100g</w:t>
            </w:r>
            <w:r>
              <w:rPr>
                <w:rFonts w:hint="eastAsia"/>
                <w:color w:val="000000"/>
                <w:sz w:val="18"/>
                <w:szCs w:val="18"/>
              </w:rPr>
              <w:t>）</w:t>
            </w:r>
            <w:r>
              <w:rPr>
                <w:color w:val="000000"/>
                <w:sz w:val="18"/>
                <w:szCs w:val="18"/>
              </w:rPr>
              <w:t xml:space="preserve">               ≤</w:t>
            </w:r>
          </w:p>
        </w:tc>
        <w:tc>
          <w:tcPr>
            <w:tcW w:w="1081" w:type="pct"/>
            <w:tcBorders>
              <w:top w:val="single" w:sz="4" w:space="0" w:color="auto"/>
              <w:left w:val="single" w:sz="4" w:space="0" w:color="auto"/>
              <w:bottom w:val="single" w:sz="4" w:space="0" w:color="auto"/>
              <w:right w:val="single" w:sz="4" w:space="0" w:color="auto"/>
            </w:tcBorders>
            <w:hideMark/>
          </w:tcPr>
          <w:p w:rsidR="00004D73" w:rsidRDefault="00004D73">
            <w:pPr>
              <w:spacing w:line="320" w:lineRule="exact"/>
              <w:jc w:val="center"/>
              <w:rPr>
                <w:color w:val="000000"/>
                <w:sz w:val="18"/>
                <w:szCs w:val="18"/>
              </w:rPr>
            </w:pPr>
            <w:r>
              <w:rPr>
                <w:color w:val="000000"/>
                <w:sz w:val="18"/>
                <w:szCs w:val="18"/>
              </w:rPr>
              <w:t>0.25</w:t>
            </w:r>
          </w:p>
        </w:tc>
        <w:tc>
          <w:tcPr>
            <w:tcW w:w="1943" w:type="pct"/>
            <w:tcBorders>
              <w:top w:val="single" w:sz="4" w:space="0" w:color="auto"/>
              <w:left w:val="single" w:sz="4" w:space="0" w:color="auto"/>
              <w:bottom w:val="single" w:sz="4" w:space="0" w:color="auto"/>
              <w:right w:val="single" w:sz="4" w:space="0" w:color="auto"/>
            </w:tcBorders>
            <w:hideMark/>
          </w:tcPr>
          <w:p w:rsidR="00004D73" w:rsidRDefault="00004D73">
            <w:pPr>
              <w:spacing w:line="320" w:lineRule="exact"/>
              <w:jc w:val="center"/>
              <w:rPr>
                <w:color w:val="000000"/>
                <w:sz w:val="18"/>
                <w:szCs w:val="18"/>
              </w:rPr>
            </w:pPr>
            <w:r>
              <w:rPr>
                <w:color w:val="000000"/>
                <w:sz w:val="18"/>
                <w:szCs w:val="18"/>
              </w:rPr>
              <w:t>GB 5009.227</w:t>
            </w:r>
            <w:r>
              <w:rPr>
                <w:rFonts w:hint="eastAsia"/>
                <w:color w:val="000000"/>
                <w:sz w:val="18"/>
                <w:szCs w:val="18"/>
              </w:rPr>
              <w:t>滴定法</w:t>
            </w:r>
          </w:p>
        </w:tc>
      </w:tr>
    </w:tbl>
    <w:p w:rsidR="00004D73" w:rsidRDefault="00004D73" w:rsidP="00004D73">
      <w:pPr>
        <w:spacing w:line="320" w:lineRule="exact"/>
        <w:ind w:firstLineChars="200" w:firstLine="420"/>
        <w:jc w:val="left"/>
        <w:rPr>
          <w:rFonts w:hint="eastAsia"/>
          <w:kern w:val="0"/>
          <w:szCs w:val="21"/>
        </w:rPr>
      </w:pPr>
      <w:r>
        <w:rPr>
          <w:bCs/>
          <w:kern w:val="0"/>
          <w:szCs w:val="21"/>
        </w:rPr>
        <w:t>3</w:t>
      </w:r>
      <w:r>
        <w:rPr>
          <w:rFonts w:hint="eastAsia"/>
          <w:bCs/>
          <w:kern w:val="0"/>
          <w:szCs w:val="21"/>
        </w:rPr>
        <w:t>、污染物限量和</w:t>
      </w:r>
      <w:r>
        <w:rPr>
          <w:rFonts w:hint="eastAsia"/>
          <w:kern w:val="0"/>
          <w:szCs w:val="21"/>
        </w:rPr>
        <w:t>真菌毒素限量</w:t>
      </w:r>
    </w:p>
    <w:p w:rsidR="00004D73" w:rsidRDefault="00004D73" w:rsidP="00004D73">
      <w:pPr>
        <w:spacing w:line="320" w:lineRule="exact"/>
        <w:ind w:firstLineChars="200" w:firstLine="420"/>
        <w:jc w:val="left"/>
        <w:rPr>
          <w:kern w:val="0"/>
          <w:szCs w:val="21"/>
        </w:rPr>
      </w:pPr>
      <w:r>
        <w:rPr>
          <w:rFonts w:hint="eastAsia"/>
          <w:bCs/>
          <w:kern w:val="0"/>
          <w:szCs w:val="21"/>
        </w:rPr>
        <w:lastRenderedPageBreak/>
        <w:t>污染物限量和</w:t>
      </w:r>
      <w:r>
        <w:rPr>
          <w:rFonts w:hint="eastAsia"/>
          <w:kern w:val="0"/>
          <w:szCs w:val="21"/>
        </w:rPr>
        <w:t>真菌毒素限量遵循与基础标准相衔接的原则，同时根据</w:t>
      </w:r>
      <w:r>
        <w:rPr>
          <w:rFonts w:hint="eastAsia"/>
          <w:szCs w:val="21"/>
        </w:rPr>
        <w:t>样品监测数据分析结果而确定。污染物限量技术要求直接引用相关现行有效的基础标准，即规定“</w:t>
      </w:r>
      <w:r>
        <w:rPr>
          <w:rFonts w:hAnsi="宋体" w:hint="eastAsia"/>
        </w:rPr>
        <w:t>污染物限量应符合</w:t>
      </w:r>
      <w:r>
        <w:rPr>
          <w:rFonts w:hAnsi="宋体"/>
        </w:rPr>
        <w:t>GB 2762</w:t>
      </w:r>
      <w:r>
        <w:rPr>
          <w:rFonts w:hAnsi="宋体" w:hint="eastAsia"/>
        </w:rPr>
        <w:t>中带馅（料）面米制品的规定</w:t>
      </w:r>
      <w:r>
        <w:rPr>
          <w:rFonts w:hint="eastAsia"/>
          <w:szCs w:val="21"/>
        </w:rPr>
        <w:t>”</w:t>
      </w:r>
      <w:r>
        <w:rPr>
          <w:rFonts w:hAnsi="宋体" w:hint="eastAsia"/>
        </w:rPr>
        <w:t>，具体技术要求规定：</w:t>
      </w:r>
      <w:r>
        <w:rPr>
          <w:rFonts w:hint="eastAsia"/>
          <w:kern w:val="0"/>
          <w:szCs w:val="21"/>
        </w:rPr>
        <w:t>铅（以</w:t>
      </w:r>
      <w:proofErr w:type="spellStart"/>
      <w:r>
        <w:rPr>
          <w:kern w:val="0"/>
          <w:szCs w:val="21"/>
        </w:rPr>
        <w:t>Pb</w:t>
      </w:r>
      <w:proofErr w:type="spellEnd"/>
      <w:r>
        <w:rPr>
          <w:rFonts w:hint="eastAsia"/>
          <w:kern w:val="0"/>
          <w:szCs w:val="21"/>
        </w:rPr>
        <w:t>计）限量指标为</w:t>
      </w:r>
      <w:r>
        <w:rPr>
          <w:kern w:val="0"/>
          <w:szCs w:val="21"/>
        </w:rPr>
        <w:t>≤ 0.5 mg/kg</w:t>
      </w:r>
      <w:r>
        <w:rPr>
          <w:rFonts w:hint="eastAsia"/>
          <w:kern w:val="0"/>
          <w:szCs w:val="21"/>
        </w:rPr>
        <w:t>。</w:t>
      </w:r>
      <w:r>
        <w:rPr>
          <w:rFonts w:hint="eastAsia"/>
          <w:szCs w:val="21"/>
        </w:rPr>
        <w:t>真菌毒素限量引用</w:t>
      </w:r>
      <w:r>
        <w:rPr>
          <w:szCs w:val="21"/>
        </w:rPr>
        <w:t>GB 2761</w:t>
      </w:r>
      <w:r>
        <w:rPr>
          <w:rFonts w:hint="eastAsia"/>
          <w:szCs w:val="21"/>
        </w:rPr>
        <w:t>中调味面制品的主要原料小麦粉的规定，</w:t>
      </w:r>
      <w:r>
        <w:rPr>
          <w:rFonts w:hAnsi="宋体" w:hint="eastAsia"/>
        </w:rPr>
        <w:t>具体技术要求为：黄曲霉毒素</w:t>
      </w:r>
      <w:r>
        <w:rPr>
          <w:rFonts w:hAnsi="宋体"/>
        </w:rPr>
        <w:t>B</w:t>
      </w:r>
      <w:r>
        <w:rPr>
          <w:rFonts w:hAnsi="宋体"/>
          <w:vertAlign w:val="subscript"/>
        </w:rPr>
        <w:t>1</w:t>
      </w:r>
      <w:r>
        <w:rPr>
          <w:rFonts w:hAnsi="宋体" w:hint="eastAsia"/>
        </w:rPr>
        <w:t>限量指标为</w:t>
      </w:r>
      <w:r>
        <w:rPr>
          <w:kern w:val="0"/>
          <w:szCs w:val="21"/>
        </w:rPr>
        <w:t>≤ 5.0 µg/kg</w:t>
      </w:r>
      <w:r>
        <w:rPr>
          <w:rFonts w:hint="eastAsia"/>
          <w:kern w:val="0"/>
          <w:szCs w:val="21"/>
        </w:rPr>
        <w:t>，</w:t>
      </w:r>
      <w:proofErr w:type="gramStart"/>
      <w:r>
        <w:rPr>
          <w:rFonts w:hAnsi="宋体" w:hint="eastAsia"/>
        </w:rPr>
        <w:t>脱氧雪腐镰刀菌</w:t>
      </w:r>
      <w:proofErr w:type="gramEnd"/>
      <w:r>
        <w:rPr>
          <w:rFonts w:hAnsi="宋体" w:hint="eastAsia"/>
        </w:rPr>
        <w:t>烯醇限量指标为</w:t>
      </w:r>
      <w:r>
        <w:rPr>
          <w:kern w:val="0"/>
          <w:szCs w:val="21"/>
        </w:rPr>
        <w:t>≤ 1000 µg/kg</w:t>
      </w:r>
      <w:r>
        <w:rPr>
          <w:rFonts w:hint="eastAsia"/>
          <w:kern w:val="0"/>
          <w:szCs w:val="21"/>
        </w:rPr>
        <w:t>，</w:t>
      </w:r>
      <w:proofErr w:type="gramStart"/>
      <w:r>
        <w:rPr>
          <w:rFonts w:hint="eastAsia"/>
          <w:kern w:val="0"/>
          <w:szCs w:val="21"/>
        </w:rPr>
        <w:t>赭</w:t>
      </w:r>
      <w:proofErr w:type="gramEnd"/>
      <w:r>
        <w:rPr>
          <w:rFonts w:hint="eastAsia"/>
          <w:kern w:val="0"/>
          <w:szCs w:val="21"/>
        </w:rPr>
        <w:t>曲霉素</w:t>
      </w:r>
      <w:r>
        <w:rPr>
          <w:rFonts w:hAnsi="宋体" w:hint="eastAsia"/>
        </w:rPr>
        <w:t>限量指标为</w:t>
      </w:r>
      <w:r>
        <w:rPr>
          <w:kern w:val="0"/>
          <w:szCs w:val="21"/>
        </w:rPr>
        <w:t>≤ 5.0 µg/kg</w:t>
      </w:r>
      <w:r>
        <w:rPr>
          <w:rFonts w:hint="eastAsia"/>
          <w:kern w:val="0"/>
          <w:szCs w:val="21"/>
        </w:rPr>
        <w:t>，</w:t>
      </w:r>
      <w:r>
        <w:rPr>
          <w:rFonts w:hAnsi="宋体" w:hint="eastAsia"/>
        </w:rPr>
        <w:t>玉米</w:t>
      </w:r>
      <w:proofErr w:type="gramStart"/>
      <w:r>
        <w:rPr>
          <w:rFonts w:hAnsi="宋体" w:hint="eastAsia"/>
        </w:rPr>
        <w:t>赤</w:t>
      </w:r>
      <w:proofErr w:type="gramEnd"/>
      <w:r>
        <w:rPr>
          <w:rFonts w:hAnsi="宋体" w:hint="eastAsia"/>
        </w:rPr>
        <w:t>霉烯酮限量指标为</w:t>
      </w:r>
      <w:r>
        <w:rPr>
          <w:kern w:val="0"/>
          <w:szCs w:val="21"/>
        </w:rPr>
        <w:t>≤ 60 µg/kg</w:t>
      </w:r>
      <w:r>
        <w:rPr>
          <w:rFonts w:hint="eastAsia"/>
          <w:kern w:val="0"/>
          <w:szCs w:val="21"/>
        </w:rPr>
        <w:t>。</w:t>
      </w:r>
    </w:p>
    <w:p w:rsidR="00004D73" w:rsidRDefault="00004D73" w:rsidP="00004D73">
      <w:pPr>
        <w:spacing w:line="320" w:lineRule="exact"/>
        <w:ind w:firstLineChars="200" w:firstLine="420"/>
        <w:jc w:val="left"/>
        <w:rPr>
          <w:szCs w:val="21"/>
        </w:rPr>
      </w:pPr>
      <w:r>
        <w:rPr>
          <w:bCs/>
          <w:kern w:val="0"/>
          <w:szCs w:val="21"/>
        </w:rPr>
        <w:t>4</w:t>
      </w:r>
      <w:r>
        <w:rPr>
          <w:rFonts w:hint="eastAsia"/>
          <w:bCs/>
          <w:kern w:val="0"/>
          <w:szCs w:val="21"/>
        </w:rPr>
        <w:t>、</w:t>
      </w:r>
      <w:r>
        <w:rPr>
          <w:rFonts w:hint="eastAsia"/>
          <w:szCs w:val="21"/>
        </w:rPr>
        <w:t>致病菌限量</w:t>
      </w:r>
    </w:p>
    <w:p w:rsidR="00004D73" w:rsidRDefault="00004D73" w:rsidP="00004D73">
      <w:pPr>
        <w:spacing w:line="320" w:lineRule="exact"/>
        <w:ind w:firstLineChars="200" w:firstLine="420"/>
        <w:jc w:val="left"/>
        <w:rPr>
          <w:rFonts w:hAnsi="宋体"/>
        </w:rPr>
      </w:pPr>
      <w:r>
        <w:rPr>
          <w:rFonts w:hint="eastAsia"/>
          <w:szCs w:val="21"/>
        </w:rPr>
        <w:t>调味面制品是即食食品，有必要对致病菌进行控制。基于样品监测数据分析结果，</w:t>
      </w:r>
      <w:r>
        <w:rPr>
          <w:rFonts w:hAnsi="宋体" w:hint="eastAsia"/>
        </w:rPr>
        <w:t>遵循</w:t>
      </w:r>
      <w:r>
        <w:rPr>
          <w:rFonts w:hint="eastAsia"/>
          <w:szCs w:val="21"/>
        </w:rPr>
        <w:t>致病菌限量技术要求与基础标准相衔接的原则，致病菌限量直接引用相关现行有效的基础标准，即规定“</w:t>
      </w:r>
      <w:r>
        <w:rPr>
          <w:rFonts w:hAnsi="宋体" w:hint="eastAsia"/>
        </w:rPr>
        <w:t>致病菌限量应符合</w:t>
      </w:r>
      <w:r>
        <w:rPr>
          <w:rFonts w:hAnsi="宋体"/>
        </w:rPr>
        <w:t>GB 29921</w:t>
      </w:r>
      <w:r>
        <w:rPr>
          <w:rFonts w:hAnsi="宋体" w:hint="eastAsia"/>
        </w:rPr>
        <w:t>中</w:t>
      </w:r>
      <w:r>
        <w:rPr>
          <w:rFonts w:hAnsi="宋体" w:hint="eastAsia"/>
          <w:color w:val="000000"/>
        </w:rPr>
        <w:t>熟制带馅（料）面米制品</w:t>
      </w:r>
      <w:r>
        <w:rPr>
          <w:rFonts w:hAnsi="宋体" w:hint="eastAsia"/>
        </w:rPr>
        <w:t>的规定</w:t>
      </w:r>
      <w:r>
        <w:rPr>
          <w:rFonts w:hint="eastAsia"/>
          <w:szCs w:val="21"/>
        </w:rPr>
        <w:t>”</w:t>
      </w:r>
      <w:r>
        <w:rPr>
          <w:rFonts w:hAnsi="宋体" w:hint="eastAsia"/>
        </w:rPr>
        <w:t>，</w:t>
      </w:r>
      <w:r>
        <w:rPr>
          <w:rFonts w:hint="eastAsia"/>
        </w:rPr>
        <w:t>具体</w:t>
      </w:r>
      <w:r>
        <w:rPr>
          <w:rFonts w:hint="eastAsia"/>
          <w:szCs w:val="21"/>
        </w:rPr>
        <w:t>限量指标和检验方法详</w:t>
      </w:r>
      <w:r>
        <w:rPr>
          <w:rFonts w:hint="eastAsia"/>
        </w:rPr>
        <w:t>见表</w:t>
      </w:r>
      <w:r>
        <w:t>2</w:t>
      </w:r>
      <w:r>
        <w:rPr>
          <w:rFonts w:hAnsi="宋体" w:hint="eastAsia"/>
        </w:rPr>
        <w:t>。</w:t>
      </w:r>
    </w:p>
    <w:p w:rsidR="00004D73" w:rsidRDefault="00004D73" w:rsidP="00004D73">
      <w:pPr>
        <w:adjustRightInd w:val="0"/>
        <w:snapToGrid w:val="0"/>
        <w:spacing w:line="320" w:lineRule="exact"/>
        <w:ind w:firstLineChars="200" w:firstLine="420"/>
        <w:jc w:val="center"/>
        <w:rPr>
          <w:rFonts w:ascii="黑体" w:eastAsia="黑体" w:hAnsi="黑体"/>
          <w:color w:val="000000"/>
          <w:szCs w:val="21"/>
        </w:rPr>
      </w:pPr>
      <w:r>
        <w:rPr>
          <w:rFonts w:ascii="黑体" w:eastAsia="黑体" w:hAnsi="黑体" w:hint="eastAsia"/>
          <w:color w:val="000000"/>
          <w:szCs w:val="21"/>
        </w:rPr>
        <w:t>表2 致病菌限量</w:t>
      </w:r>
    </w:p>
    <w:tbl>
      <w:tblPr>
        <w:tblW w:w="8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39"/>
        <w:gridCol w:w="506"/>
        <w:gridCol w:w="505"/>
        <w:gridCol w:w="752"/>
        <w:gridCol w:w="753"/>
        <w:gridCol w:w="2965"/>
      </w:tblGrid>
      <w:tr w:rsidR="00004D73" w:rsidTr="00004D73">
        <w:trPr>
          <w:trHeight w:val="20"/>
        </w:trPr>
        <w:tc>
          <w:tcPr>
            <w:tcW w:w="3040" w:type="dxa"/>
            <w:vMerge w:val="restart"/>
            <w:tcBorders>
              <w:top w:val="single" w:sz="4" w:space="0" w:color="auto"/>
              <w:left w:val="single" w:sz="4" w:space="0" w:color="auto"/>
              <w:bottom w:val="single" w:sz="4" w:space="0" w:color="auto"/>
              <w:right w:val="single" w:sz="4" w:space="0" w:color="auto"/>
            </w:tcBorders>
            <w:vAlign w:val="center"/>
            <w:hideMark/>
          </w:tcPr>
          <w:p w:rsidR="00004D73" w:rsidRDefault="00004D73">
            <w:pPr>
              <w:spacing w:line="320" w:lineRule="exact"/>
              <w:jc w:val="center"/>
              <w:rPr>
                <w:sz w:val="18"/>
                <w:szCs w:val="18"/>
              </w:rPr>
            </w:pPr>
            <w:r>
              <w:rPr>
                <w:rFonts w:hint="eastAsia"/>
                <w:sz w:val="18"/>
                <w:szCs w:val="18"/>
              </w:rPr>
              <w:t>项</w:t>
            </w:r>
            <w:r>
              <w:rPr>
                <w:sz w:val="18"/>
                <w:szCs w:val="18"/>
              </w:rPr>
              <w:t xml:space="preserve">    </w:t>
            </w:r>
            <w:r>
              <w:rPr>
                <w:rFonts w:hint="eastAsia"/>
                <w:sz w:val="18"/>
                <w:szCs w:val="18"/>
              </w:rPr>
              <w:t>目</w:t>
            </w:r>
          </w:p>
        </w:tc>
        <w:tc>
          <w:tcPr>
            <w:tcW w:w="2516" w:type="dxa"/>
            <w:gridSpan w:val="4"/>
            <w:tcBorders>
              <w:top w:val="single" w:sz="4" w:space="0" w:color="auto"/>
              <w:left w:val="single" w:sz="4" w:space="0" w:color="auto"/>
              <w:bottom w:val="single" w:sz="4" w:space="0" w:color="auto"/>
              <w:right w:val="single" w:sz="4" w:space="0" w:color="auto"/>
            </w:tcBorders>
            <w:vAlign w:val="center"/>
            <w:hideMark/>
          </w:tcPr>
          <w:p w:rsidR="00004D73" w:rsidRDefault="00004D73">
            <w:pPr>
              <w:spacing w:line="320" w:lineRule="exact"/>
              <w:jc w:val="center"/>
              <w:rPr>
                <w:sz w:val="18"/>
                <w:szCs w:val="18"/>
              </w:rPr>
            </w:pPr>
            <w:r>
              <w:rPr>
                <w:rFonts w:hint="eastAsia"/>
                <w:sz w:val="18"/>
                <w:szCs w:val="18"/>
              </w:rPr>
              <w:t>采样方案及限量</w:t>
            </w:r>
          </w:p>
        </w:tc>
        <w:tc>
          <w:tcPr>
            <w:tcW w:w="2966" w:type="dxa"/>
            <w:vMerge w:val="restart"/>
            <w:tcBorders>
              <w:top w:val="single" w:sz="4" w:space="0" w:color="auto"/>
              <w:left w:val="single" w:sz="4" w:space="0" w:color="auto"/>
              <w:bottom w:val="single" w:sz="4" w:space="0" w:color="auto"/>
              <w:right w:val="single" w:sz="4" w:space="0" w:color="auto"/>
            </w:tcBorders>
            <w:vAlign w:val="center"/>
            <w:hideMark/>
          </w:tcPr>
          <w:p w:rsidR="00004D73" w:rsidRDefault="00004D73">
            <w:pPr>
              <w:spacing w:line="320" w:lineRule="exact"/>
              <w:jc w:val="center"/>
              <w:rPr>
                <w:sz w:val="18"/>
                <w:szCs w:val="18"/>
              </w:rPr>
            </w:pPr>
            <w:r>
              <w:rPr>
                <w:rFonts w:hint="eastAsia"/>
                <w:sz w:val="18"/>
                <w:szCs w:val="18"/>
              </w:rPr>
              <w:t>检验方法</w:t>
            </w:r>
          </w:p>
        </w:tc>
      </w:tr>
      <w:tr w:rsidR="00004D73" w:rsidTr="00004D73">
        <w:trPr>
          <w:trHeight w:val="20"/>
        </w:trPr>
        <w:tc>
          <w:tcPr>
            <w:tcW w:w="3040" w:type="dxa"/>
            <w:vMerge/>
            <w:tcBorders>
              <w:top w:val="single" w:sz="4" w:space="0" w:color="auto"/>
              <w:left w:val="single" w:sz="4" w:space="0" w:color="auto"/>
              <w:bottom w:val="single" w:sz="4" w:space="0" w:color="auto"/>
              <w:right w:val="single" w:sz="4" w:space="0" w:color="auto"/>
            </w:tcBorders>
            <w:vAlign w:val="center"/>
            <w:hideMark/>
          </w:tcPr>
          <w:p w:rsidR="00004D73" w:rsidRDefault="00004D73">
            <w:pPr>
              <w:widowControl/>
              <w:jc w:val="left"/>
              <w:rPr>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hideMark/>
          </w:tcPr>
          <w:p w:rsidR="00004D73" w:rsidRDefault="00004D73">
            <w:pPr>
              <w:spacing w:line="320" w:lineRule="exact"/>
              <w:jc w:val="center"/>
              <w:rPr>
                <w:sz w:val="18"/>
                <w:szCs w:val="18"/>
              </w:rPr>
            </w:pPr>
            <w:r>
              <w:rPr>
                <w:sz w:val="18"/>
                <w:szCs w:val="18"/>
              </w:rPr>
              <w:t>n</w:t>
            </w:r>
          </w:p>
        </w:tc>
        <w:tc>
          <w:tcPr>
            <w:tcW w:w="505" w:type="dxa"/>
            <w:tcBorders>
              <w:top w:val="single" w:sz="4" w:space="0" w:color="auto"/>
              <w:left w:val="single" w:sz="4" w:space="0" w:color="auto"/>
              <w:bottom w:val="single" w:sz="4" w:space="0" w:color="auto"/>
              <w:right w:val="single" w:sz="4" w:space="0" w:color="auto"/>
            </w:tcBorders>
            <w:vAlign w:val="center"/>
            <w:hideMark/>
          </w:tcPr>
          <w:p w:rsidR="00004D73" w:rsidRDefault="00004D73">
            <w:pPr>
              <w:spacing w:line="320" w:lineRule="exact"/>
              <w:jc w:val="center"/>
              <w:rPr>
                <w:sz w:val="18"/>
                <w:szCs w:val="18"/>
              </w:rPr>
            </w:pPr>
            <w:r>
              <w:rPr>
                <w:sz w:val="18"/>
                <w:szCs w:val="18"/>
              </w:rPr>
              <w:t>c</w:t>
            </w:r>
          </w:p>
        </w:tc>
        <w:tc>
          <w:tcPr>
            <w:tcW w:w="752" w:type="dxa"/>
            <w:tcBorders>
              <w:top w:val="single" w:sz="4" w:space="0" w:color="auto"/>
              <w:left w:val="single" w:sz="4" w:space="0" w:color="auto"/>
              <w:bottom w:val="single" w:sz="4" w:space="0" w:color="auto"/>
              <w:right w:val="single" w:sz="4" w:space="0" w:color="auto"/>
            </w:tcBorders>
            <w:vAlign w:val="center"/>
            <w:hideMark/>
          </w:tcPr>
          <w:p w:rsidR="00004D73" w:rsidRDefault="00004D73">
            <w:pPr>
              <w:spacing w:line="320" w:lineRule="exact"/>
              <w:jc w:val="center"/>
              <w:rPr>
                <w:sz w:val="18"/>
                <w:szCs w:val="18"/>
              </w:rPr>
            </w:pPr>
            <w:r>
              <w:rPr>
                <w:sz w:val="18"/>
                <w:szCs w:val="18"/>
              </w:rPr>
              <w:t>m</w:t>
            </w:r>
          </w:p>
        </w:tc>
        <w:tc>
          <w:tcPr>
            <w:tcW w:w="753" w:type="dxa"/>
            <w:tcBorders>
              <w:top w:val="single" w:sz="4" w:space="0" w:color="auto"/>
              <w:left w:val="single" w:sz="4" w:space="0" w:color="auto"/>
              <w:bottom w:val="single" w:sz="4" w:space="0" w:color="auto"/>
              <w:right w:val="single" w:sz="4" w:space="0" w:color="auto"/>
            </w:tcBorders>
            <w:vAlign w:val="center"/>
            <w:hideMark/>
          </w:tcPr>
          <w:p w:rsidR="00004D73" w:rsidRDefault="00004D73">
            <w:pPr>
              <w:spacing w:line="320" w:lineRule="exact"/>
              <w:jc w:val="center"/>
              <w:rPr>
                <w:sz w:val="18"/>
                <w:szCs w:val="18"/>
              </w:rPr>
            </w:pPr>
            <w:r>
              <w:rPr>
                <w:sz w:val="18"/>
                <w:szCs w:val="18"/>
              </w:rPr>
              <w:t>M</w:t>
            </w:r>
          </w:p>
        </w:tc>
        <w:tc>
          <w:tcPr>
            <w:tcW w:w="2966" w:type="dxa"/>
            <w:vMerge/>
            <w:tcBorders>
              <w:top w:val="single" w:sz="4" w:space="0" w:color="auto"/>
              <w:left w:val="single" w:sz="4" w:space="0" w:color="auto"/>
              <w:bottom w:val="single" w:sz="4" w:space="0" w:color="auto"/>
              <w:right w:val="single" w:sz="4" w:space="0" w:color="auto"/>
            </w:tcBorders>
            <w:vAlign w:val="center"/>
            <w:hideMark/>
          </w:tcPr>
          <w:p w:rsidR="00004D73" w:rsidRDefault="00004D73">
            <w:pPr>
              <w:widowControl/>
              <w:jc w:val="left"/>
              <w:rPr>
                <w:sz w:val="18"/>
                <w:szCs w:val="18"/>
              </w:rPr>
            </w:pPr>
          </w:p>
        </w:tc>
      </w:tr>
      <w:tr w:rsidR="00004D73" w:rsidTr="00004D73">
        <w:trPr>
          <w:trHeight w:val="20"/>
        </w:trPr>
        <w:tc>
          <w:tcPr>
            <w:tcW w:w="3040" w:type="dxa"/>
            <w:tcBorders>
              <w:top w:val="single" w:sz="4" w:space="0" w:color="auto"/>
              <w:left w:val="single" w:sz="4" w:space="0" w:color="auto"/>
              <w:bottom w:val="single" w:sz="4" w:space="0" w:color="auto"/>
              <w:right w:val="single" w:sz="4" w:space="0" w:color="auto"/>
            </w:tcBorders>
            <w:vAlign w:val="center"/>
            <w:hideMark/>
          </w:tcPr>
          <w:p w:rsidR="00004D73" w:rsidRDefault="00004D73">
            <w:pPr>
              <w:spacing w:line="320" w:lineRule="exact"/>
              <w:rPr>
                <w:sz w:val="18"/>
                <w:szCs w:val="18"/>
                <w:vertAlign w:val="superscript"/>
              </w:rPr>
            </w:pPr>
            <w:r>
              <w:rPr>
                <w:rFonts w:hint="eastAsia"/>
                <w:sz w:val="18"/>
                <w:szCs w:val="18"/>
              </w:rPr>
              <w:t>沙门氏菌</w:t>
            </w:r>
            <w:r>
              <w:rPr>
                <w:sz w:val="18"/>
                <w:szCs w:val="18"/>
              </w:rPr>
              <w:t>/</w:t>
            </w:r>
            <w:r>
              <w:rPr>
                <w:rFonts w:hint="eastAsia"/>
                <w:sz w:val="18"/>
                <w:szCs w:val="18"/>
              </w:rPr>
              <w:t>（</w:t>
            </w:r>
            <w:r>
              <w:rPr>
                <w:sz w:val="18"/>
                <w:szCs w:val="18"/>
              </w:rPr>
              <w:t>/25g</w:t>
            </w:r>
            <w:r>
              <w:rPr>
                <w:rFonts w:hint="eastAsia"/>
                <w:sz w:val="18"/>
                <w:szCs w:val="18"/>
              </w:rPr>
              <w:t>）</w:t>
            </w:r>
          </w:p>
        </w:tc>
        <w:tc>
          <w:tcPr>
            <w:tcW w:w="506" w:type="dxa"/>
            <w:tcBorders>
              <w:top w:val="single" w:sz="4" w:space="0" w:color="auto"/>
              <w:left w:val="single" w:sz="4" w:space="0" w:color="auto"/>
              <w:bottom w:val="single" w:sz="4" w:space="0" w:color="auto"/>
              <w:right w:val="single" w:sz="4" w:space="0" w:color="auto"/>
            </w:tcBorders>
            <w:vAlign w:val="center"/>
            <w:hideMark/>
          </w:tcPr>
          <w:p w:rsidR="00004D73" w:rsidRDefault="00004D73">
            <w:pPr>
              <w:spacing w:line="320" w:lineRule="exact"/>
              <w:jc w:val="center"/>
              <w:rPr>
                <w:sz w:val="18"/>
                <w:szCs w:val="18"/>
                <w:lang w:val="pt-BR"/>
              </w:rPr>
            </w:pPr>
            <w:r>
              <w:rPr>
                <w:sz w:val="18"/>
                <w:szCs w:val="18"/>
                <w:lang w:val="pt-BR"/>
              </w:rPr>
              <w:t>5</w:t>
            </w:r>
          </w:p>
        </w:tc>
        <w:tc>
          <w:tcPr>
            <w:tcW w:w="505" w:type="dxa"/>
            <w:tcBorders>
              <w:top w:val="single" w:sz="4" w:space="0" w:color="auto"/>
              <w:left w:val="single" w:sz="4" w:space="0" w:color="auto"/>
              <w:bottom w:val="single" w:sz="4" w:space="0" w:color="auto"/>
              <w:right w:val="single" w:sz="4" w:space="0" w:color="auto"/>
            </w:tcBorders>
            <w:vAlign w:val="center"/>
            <w:hideMark/>
          </w:tcPr>
          <w:p w:rsidR="00004D73" w:rsidRDefault="00004D73">
            <w:pPr>
              <w:spacing w:line="320" w:lineRule="exact"/>
              <w:jc w:val="center"/>
              <w:rPr>
                <w:sz w:val="18"/>
                <w:szCs w:val="18"/>
              </w:rPr>
            </w:pPr>
            <w:r>
              <w:rPr>
                <w:sz w:val="18"/>
                <w:szCs w:val="18"/>
              </w:rPr>
              <w:t>0</w:t>
            </w:r>
          </w:p>
        </w:tc>
        <w:tc>
          <w:tcPr>
            <w:tcW w:w="752" w:type="dxa"/>
            <w:tcBorders>
              <w:top w:val="single" w:sz="4" w:space="0" w:color="auto"/>
              <w:left w:val="single" w:sz="4" w:space="0" w:color="auto"/>
              <w:bottom w:val="single" w:sz="4" w:space="0" w:color="auto"/>
              <w:right w:val="single" w:sz="4" w:space="0" w:color="auto"/>
            </w:tcBorders>
            <w:vAlign w:val="center"/>
            <w:hideMark/>
          </w:tcPr>
          <w:p w:rsidR="00004D73" w:rsidRDefault="00004D73">
            <w:pPr>
              <w:spacing w:line="320" w:lineRule="exact"/>
              <w:jc w:val="center"/>
              <w:rPr>
                <w:sz w:val="18"/>
                <w:szCs w:val="18"/>
              </w:rPr>
            </w:pPr>
            <w:r>
              <w:rPr>
                <w:sz w:val="18"/>
                <w:szCs w:val="18"/>
              </w:rPr>
              <w:t>0</w:t>
            </w:r>
          </w:p>
        </w:tc>
        <w:tc>
          <w:tcPr>
            <w:tcW w:w="753" w:type="dxa"/>
            <w:tcBorders>
              <w:top w:val="single" w:sz="4" w:space="0" w:color="auto"/>
              <w:left w:val="single" w:sz="4" w:space="0" w:color="auto"/>
              <w:bottom w:val="single" w:sz="4" w:space="0" w:color="auto"/>
              <w:right w:val="single" w:sz="4" w:space="0" w:color="auto"/>
            </w:tcBorders>
            <w:vAlign w:val="center"/>
            <w:hideMark/>
          </w:tcPr>
          <w:p w:rsidR="00004D73" w:rsidRDefault="00004D73">
            <w:pPr>
              <w:spacing w:line="320" w:lineRule="exact"/>
              <w:jc w:val="center"/>
              <w:rPr>
                <w:sz w:val="18"/>
                <w:szCs w:val="18"/>
                <w:vertAlign w:val="superscript"/>
              </w:rPr>
            </w:pPr>
            <w:r>
              <w:rPr>
                <w:sz w:val="18"/>
                <w:szCs w:val="18"/>
              </w:rPr>
              <w:t>-</w:t>
            </w:r>
          </w:p>
        </w:tc>
        <w:tc>
          <w:tcPr>
            <w:tcW w:w="2966" w:type="dxa"/>
            <w:tcBorders>
              <w:top w:val="single" w:sz="4" w:space="0" w:color="auto"/>
              <w:left w:val="single" w:sz="4" w:space="0" w:color="auto"/>
              <w:bottom w:val="single" w:sz="4" w:space="0" w:color="auto"/>
              <w:right w:val="single" w:sz="4" w:space="0" w:color="auto"/>
            </w:tcBorders>
            <w:vAlign w:val="center"/>
            <w:hideMark/>
          </w:tcPr>
          <w:p w:rsidR="00004D73" w:rsidRDefault="00004D73">
            <w:pPr>
              <w:spacing w:line="320" w:lineRule="exact"/>
              <w:jc w:val="center"/>
              <w:rPr>
                <w:sz w:val="18"/>
                <w:szCs w:val="18"/>
              </w:rPr>
            </w:pPr>
            <w:r>
              <w:rPr>
                <w:sz w:val="18"/>
                <w:szCs w:val="18"/>
              </w:rPr>
              <w:t>GB 4789.4</w:t>
            </w:r>
          </w:p>
        </w:tc>
      </w:tr>
      <w:tr w:rsidR="00004D73" w:rsidTr="00004D73">
        <w:trPr>
          <w:trHeight w:val="20"/>
        </w:trPr>
        <w:tc>
          <w:tcPr>
            <w:tcW w:w="3040" w:type="dxa"/>
            <w:tcBorders>
              <w:top w:val="single" w:sz="4" w:space="0" w:color="auto"/>
              <w:left w:val="single" w:sz="4" w:space="0" w:color="auto"/>
              <w:bottom w:val="single" w:sz="4" w:space="0" w:color="auto"/>
              <w:right w:val="single" w:sz="4" w:space="0" w:color="auto"/>
            </w:tcBorders>
            <w:vAlign w:val="center"/>
            <w:hideMark/>
          </w:tcPr>
          <w:p w:rsidR="00004D73" w:rsidRDefault="00004D73">
            <w:pPr>
              <w:spacing w:line="320" w:lineRule="exact"/>
              <w:rPr>
                <w:sz w:val="18"/>
                <w:szCs w:val="18"/>
                <w:vertAlign w:val="superscript"/>
              </w:rPr>
            </w:pPr>
            <w:r>
              <w:rPr>
                <w:rFonts w:hint="eastAsia"/>
                <w:sz w:val="18"/>
                <w:szCs w:val="18"/>
              </w:rPr>
              <w:t>金黄色葡萄球菌</w:t>
            </w:r>
            <w:r>
              <w:rPr>
                <w:sz w:val="18"/>
                <w:szCs w:val="18"/>
              </w:rPr>
              <w:t>/</w:t>
            </w:r>
            <w:r>
              <w:rPr>
                <w:rFonts w:hint="eastAsia"/>
                <w:sz w:val="18"/>
                <w:szCs w:val="18"/>
              </w:rPr>
              <w:t>（</w:t>
            </w:r>
            <w:r>
              <w:rPr>
                <w:sz w:val="18"/>
                <w:szCs w:val="18"/>
              </w:rPr>
              <w:t>CFU/g</w:t>
            </w:r>
            <w:r>
              <w:rPr>
                <w:rFonts w:hint="eastAsia"/>
                <w:sz w:val="18"/>
                <w:szCs w:val="18"/>
              </w:rPr>
              <w:t>）</w:t>
            </w:r>
          </w:p>
        </w:tc>
        <w:tc>
          <w:tcPr>
            <w:tcW w:w="506" w:type="dxa"/>
            <w:tcBorders>
              <w:top w:val="single" w:sz="4" w:space="0" w:color="auto"/>
              <w:left w:val="single" w:sz="4" w:space="0" w:color="auto"/>
              <w:bottom w:val="single" w:sz="4" w:space="0" w:color="auto"/>
              <w:right w:val="single" w:sz="4" w:space="0" w:color="auto"/>
            </w:tcBorders>
            <w:vAlign w:val="center"/>
            <w:hideMark/>
          </w:tcPr>
          <w:p w:rsidR="00004D73" w:rsidRDefault="00004D73">
            <w:pPr>
              <w:spacing w:line="320" w:lineRule="exact"/>
              <w:jc w:val="center"/>
              <w:rPr>
                <w:sz w:val="18"/>
                <w:szCs w:val="18"/>
              </w:rPr>
            </w:pPr>
            <w:r>
              <w:rPr>
                <w:sz w:val="18"/>
                <w:szCs w:val="18"/>
                <w:lang w:val="pt-BR"/>
              </w:rPr>
              <w:t>5</w:t>
            </w:r>
          </w:p>
        </w:tc>
        <w:tc>
          <w:tcPr>
            <w:tcW w:w="505" w:type="dxa"/>
            <w:tcBorders>
              <w:top w:val="single" w:sz="4" w:space="0" w:color="auto"/>
              <w:left w:val="single" w:sz="4" w:space="0" w:color="auto"/>
              <w:bottom w:val="single" w:sz="4" w:space="0" w:color="auto"/>
              <w:right w:val="single" w:sz="4" w:space="0" w:color="auto"/>
            </w:tcBorders>
            <w:vAlign w:val="center"/>
            <w:hideMark/>
          </w:tcPr>
          <w:p w:rsidR="00004D73" w:rsidRDefault="00004D73">
            <w:pPr>
              <w:spacing w:line="320" w:lineRule="exact"/>
              <w:jc w:val="center"/>
              <w:rPr>
                <w:sz w:val="18"/>
                <w:szCs w:val="18"/>
              </w:rPr>
            </w:pPr>
            <w:r>
              <w:rPr>
                <w:sz w:val="18"/>
                <w:szCs w:val="18"/>
              </w:rPr>
              <w:t>1</w:t>
            </w:r>
          </w:p>
        </w:tc>
        <w:tc>
          <w:tcPr>
            <w:tcW w:w="752" w:type="dxa"/>
            <w:tcBorders>
              <w:top w:val="single" w:sz="4" w:space="0" w:color="auto"/>
              <w:left w:val="single" w:sz="4" w:space="0" w:color="auto"/>
              <w:bottom w:val="single" w:sz="4" w:space="0" w:color="auto"/>
              <w:right w:val="single" w:sz="4" w:space="0" w:color="auto"/>
            </w:tcBorders>
            <w:vAlign w:val="center"/>
            <w:hideMark/>
          </w:tcPr>
          <w:p w:rsidR="00004D73" w:rsidRDefault="00004D73">
            <w:pPr>
              <w:spacing w:line="320" w:lineRule="exact"/>
              <w:jc w:val="center"/>
              <w:rPr>
                <w:sz w:val="18"/>
                <w:szCs w:val="18"/>
              </w:rPr>
            </w:pPr>
            <w:r>
              <w:rPr>
                <w:sz w:val="18"/>
                <w:szCs w:val="18"/>
              </w:rPr>
              <w:t>100</w:t>
            </w:r>
          </w:p>
        </w:tc>
        <w:tc>
          <w:tcPr>
            <w:tcW w:w="753" w:type="dxa"/>
            <w:tcBorders>
              <w:top w:val="single" w:sz="4" w:space="0" w:color="auto"/>
              <w:left w:val="single" w:sz="4" w:space="0" w:color="auto"/>
              <w:bottom w:val="single" w:sz="4" w:space="0" w:color="auto"/>
              <w:right w:val="single" w:sz="4" w:space="0" w:color="auto"/>
            </w:tcBorders>
            <w:vAlign w:val="center"/>
            <w:hideMark/>
          </w:tcPr>
          <w:p w:rsidR="00004D73" w:rsidRDefault="00004D73">
            <w:pPr>
              <w:spacing w:line="320" w:lineRule="exact"/>
              <w:jc w:val="center"/>
              <w:rPr>
                <w:sz w:val="18"/>
                <w:szCs w:val="18"/>
              </w:rPr>
            </w:pPr>
            <w:r>
              <w:rPr>
                <w:sz w:val="18"/>
                <w:szCs w:val="18"/>
              </w:rPr>
              <w:t>1000</w:t>
            </w:r>
          </w:p>
        </w:tc>
        <w:tc>
          <w:tcPr>
            <w:tcW w:w="2966" w:type="dxa"/>
            <w:tcBorders>
              <w:top w:val="single" w:sz="4" w:space="0" w:color="auto"/>
              <w:left w:val="single" w:sz="4" w:space="0" w:color="auto"/>
              <w:bottom w:val="single" w:sz="4" w:space="0" w:color="auto"/>
              <w:right w:val="single" w:sz="4" w:space="0" w:color="auto"/>
            </w:tcBorders>
            <w:vAlign w:val="center"/>
            <w:hideMark/>
          </w:tcPr>
          <w:p w:rsidR="00004D73" w:rsidRDefault="00004D73">
            <w:pPr>
              <w:spacing w:line="320" w:lineRule="exact"/>
              <w:jc w:val="center"/>
              <w:rPr>
                <w:sz w:val="18"/>
                <w:szCs w:val="18"/>
              </w:rPr>
            </w:pPr>
            <w:r>
              <w:rPr>
                <w:sz w:val="18"/>
                <w:szCs w:val="18"/>
              </w:rPr>
              <w:t>GB 4789.10</w:t>
            </w:r>
            <w:r>
              <w:rPr>
                <w:rFonts w:hint="eastAsia"/>
                <w:sz w:val="18"/>
                <w:szCs w:val="18"/>
              </w:rPr>
              <w:t>第二</w:t>
            </w:r>
            <w:r>
              <w:rPr>
                <w:rFonts w:hint="eastAsia"/>
                <w:sz w:val="18"/>
                <w:szCs w:val="18"/>
                <w:lang w:val="es-ES"/>
              </w:rPr>
              <w:t>法</w:t>
            </w:r>
          </w:p>
        </w:tc>
      </w:tr>
    </w:tbl>
    <w:p w:rsidR="00004D73" w:rsidRDefault="00004D73" w:rsidP="00004D73">
      <w:pPr>
        <w:spacing w:line="320" w:lineRule="exact"/>
        <w:ind w:firstLineChars="200" w:firstLine="420"/>
        <w:jc w:val="left"/>
        <w:rPr>
          <w:rFonts w:hint="eastAsia"/>
          <w:kern w:val="0"/>
          <w:szCs w:val="21"/>
        </w:rPr>
      </w:pPr>
      <w:r>
        <w:rPr>
          <w:rFonts w:hAnsi="宋体"/>
        </w:rPr>
        <w:t>5</w:t>
      </w:r>
      <w:r>
        <w:rPr>
          <w:rFonts w:hAnsi="宋体" w:hint="eastAsia"/>
        </w:rPr>
        <w:t>、其他微生物限量</w:t>
      </w:r>
    </w:p>
    <w:p w:rsidR="00004D73" w:rsidRDefault="00004D73" w:rsidP="00004D73">
      <w:pPr>
        <w:adjustRightInd w:val="0"/>
        <w:snapToGrid w:val="0"/>
        <w:spacing w:line="320" w:lineRule="exact"/>
        <w:ind w:firstLineChars="200" w:firstLine="420"/>
        <w:rPr>
          <w:szCs w:val="21"/>
        </w:rPr>
      </w:pPr>
      <w:r>
        <w:rPr>
          <w:rFonts w:hint="eastAsia"/>
          <w:szCs w:val="21"/>
        </w:rPr>
        <w:t>考虑到我国调味面制品的生产加工环境、卫生管理等现况，选择菌落总数、大肠菌群和霉菌</w:t>
      </w:r>
      <w:proofErr w:type="gramStart"/>
      <w:r>
        <w:rPr>
          <w:rFonts w:hint="eastAsia"/>
          <w:szCs w:val="21"/>
        </w:rPr>
        <w:t>做为</w:t>
      </w:r>
      <w:proofErr w:type="gramEnd"/>
      <w:r>
        <w:rPr>
          <w:rFonts w:hint="eastAsia"/>
          <w:szCs w:val="21"/>
        </w:rPr>
        <w:t>卫生学指示菌。基于样品监测数据分析结果，确定其限量技术要求，详见表</w:t>
      </w:r>
      <w:r>
        <w:rPr>
          <w:szCs w:val="21"/>
        </w:rPr>
        <w:t>3</w:t>
      </w:r>
      <w:r>
        <w:rPr>
          <w:rFonts w:hint="eastAsia"/>
          <w:szCs w:val="21"/>
        </w:rPr>
        <w:t>。</w:t>
      </w:r>
    </w:p>
    <w:p w:rsidR="00004D73" w:rsidRDefault="00004D73" w:rsidP="00004D73">
      <w:pPr>
        <w:spacing w:line="320" w:lineRule="exact"/>
        <w:jc w:val="center"/>
        <w:rPr>
          <w:rFonts w:ascii="黑体" w:eastAsia="黑体" w:hAnsi="黑体"/>
          <w:color w:val="000000"/>
          <w:szCs w:val="21"/>
        </w:rPr>
      </w:pPr>
      <w:r>
        <w:rPr>
          <w:rFonts w:ascii="黑体" w:eastAsia="黑体" w:hAnsi="黑体" w:hint="eastAsia"/>
          <w:color w:val="000000"/>
          <w:szCs w:val="21"/>
        </w:rPr>
        <w:t>表3 微生物限量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0"/>
        <w:gridCol w:w="1009"/>
        <w:gridCol w:w="12"/>
        <w:gridCol w:w="999"/>
        <w:gridCol w:w="1009"/>
        <w:gridCol w:w="1058"/>
        <w:gridCol w:w="2545"/>
      </w:tblGrid>
      <w:tr w:rsidR="00004D73" w:rsidTr="00004D73">
        <w:trPr>
          <w:trHeight w:val="20"/>
        </w:trPr>
        <w:tc>
          <w:tcPr>
            <w:tcW w:w="1109" w:type="pct"/>
            <w:vMerge w:val="restart"/>
            <w:tcBorders>
              <w:top w:val="single" w:sz="4" w:space="0" w:color="auto"/>
              <w:left w:val="single" w:sz="4" w:space="0" w:color="auto"/>
              <w:bottom w:val="single" w:sz="4" w:space="0" w:color="auto"/>
              <w:right w:val="single" w:sz="4" w:space="0" w:color="auto"/>
            </w:tcBorders>
            <w:vAlign w:val="center"/>
            <w:hideMark/>
          </w:tcPr>
          <w:p w:rsidR="00004D73" w:rsidRDefault="00004D73">
            <w:pPr>
              <w:spacing w:line="320" w:lineRule="exact"/>
              <w:jc w:val="center"/>
              <w:rPr>
                <w:color w:val="000000"/>
                <w:sz w:val="18"/>
                <w:szCs w:val="18"/>
              </w:rPr>
            </w:pPr>
            <w:r>
              <w:rPr>
                <w:rFonts w:hint="eastAsia"/>
                <w:color w:val="000000"/>
                <w:sz w:val="18"/>
                <w:szCs w:val="18"/>
              </w:rPr>
              <w:t>项</w:t>
            </w:r>
            <w:r>
              <w:rPr>
                <w:color w:val="000000"/>
                <w:sz w:val="18"/>
                <w:szCs w:val="18"/>
              </w:rPr>
              <w:t xml:space="preserve">    </w:t>
            </w:r>
            <w:r>
              <w:rPr>
                <w:rFonts w:hint="eastAsia"/>
                <w:color w:val="000000"/>
                <w:sz w:val="18"/>
                <w:szCs w:val="18"/>
              </w:rPr>
              <w:t>目</w:t>
            </w:r>
          </w:p>
        </w:tc>
        <w:tc>
          <w:tcPr>
            <w:tcW w:w="2398" w:type="pct"/>
            <w:gridSpan w:val="5"/>
            <w:tcBorders>
              <w:top w:val="single" w:sz="4" w:space="0" w:color="auto"/>
              <w:left w:val="single" w:sz="4" w:space="0" w:color="auto"/>
              <w:bottom w:val="single" w:sz="4" w:space="0" w:color="auto"/>
              <w:right w:val="single" w:sz="4" w:space="0" w:color="auto"/>
            </w:tcBorders>
            <w:vAlign w:val="center"/>
            <w:hideMark/>
          </w:tcPr>
          <w:p w:rsidR="00004D73" w:rsidRDefault="00004D73">
            <w:pPr>
              <w:spacing w:line="320" w:lineRule="exact"/>
              <w:jc w:val="center"/>
              <w:rPr>
                <w:color w:val="000000"/>
                <w:sz w:val="18"/>
                <w:szCs w:val="18"/>
              </w:rPr>
            </w:pPr>
            <w:r>
              <w:rPr>
                <w:rFonts w:hint="eastAsia"/>
                <w:color w:val="000000"/>
                <w:sz w:val="18"/>
                <w:szCs w:val="18"/>
              </w:rPr>
              <w:t>采样方案</w:t>
            </w:r>
            <w:r>
              <w:rPr>
                <w:color w:val="000000"/>
                <w:sz w:val="18"/>
                <w:szCs w:val="18"/>
                <w:vertAlign w:val="superscript"/>
              </w:rPr>
              <w:t>a</w:t>
            </w:r>
            <w:r>
              <w:rPr>
                <w:rFonts w:hint="eastAsia"/>
                <w:color w:val="000000"/>
                <w:sz w:val="18"/>
                <w:szCs w:val="18"/>
              </w:rPr>
              <w:t>及限量</w:t>
            </w:r>
          </w:p>
        </w:tc>
        <w:tc>
          <w:tcPr>
            <w:tcW w:w="1493" w:type="pct"/>
            <w:vMerge w:val="restart"/>
            <w:tcBorders>
              <w:top w:val="single" w:sz="4" w:space="0" w:color="auto"/>
              <w:left w:val="single" w:sz="4" w:space="0" w:color="auto"/>
              <w:bottom w:val="single" w:sz="4" w:space="0" w:color="auto"/>
              <w:right w:val="single" w:sz="4" w:space="0" w:color="auto"/>
            </w:tcBorders>
            <w:vAlign w:val="center"/>
            <w:hideMark/>
          </w:tcPr>
          <w:p w:rsidR="00004D73" w:rsidRDefault="00004D73">
            <w:pPr>
              <w:spacing w:line="320" w:lineRule="exact"/>
              <w:jc w:val="center"/>
              <w:rPr>
                <w:color w:val="000000"/>
                <w:sz w:val="18"/>
                <w:szCs w:val="18"/>
              </w:rPr>
            </w:pPr>
            <w:r>
              <w:rPr>
                <w:rFonts w:hint="eastAsia"/>
                <w:color w:val="000000"/>
                <w:sz w:val="18"/>
                <w:szCs w:val="18"/>
              </w:rPr>
              <w:t>检验方法</w:t>
            </w:r>
          </w:p>
        </w:tc>
      </w:tr>
      <w:tr w:rsidR="00004D73" w:rsidTr="00004D7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04D73" w:rsidRDefault="00004D73">
            <w:pPr>
              <w:widowControl/>
              <w:jc w:val="left"/>
              <w:rPr>
                <w:color w:val="000000"/>
                <w:sz w:val="18"/>
                <w:szCs w:val="18"/>
              </w:rPr>
            </w:pPr>
          </w:p>
        </w:tc>
        <w:tc>
          <w:tcPr>
            <w:tcW w:w="592" w:type="pct"/>
            <w:tcBorders>
              <w:top w:val="single" w:sz="4" w:space="0" w:color="auto"/>
              <w:left w:val="single" w:sz="4" w:space="0" w:color="auto"/>
              <w:bottom w:val="single" w:sz="4" w:space="0" w:color="auto"/>
              <w:right w:val="single" w:sz="4" w:space="0" w:color="auto"/>
            </w:tcBorders>
            <w:vAlign w:val="center"/>
            <w:hideMark/>
          </w:tcPr>
          <w:p w:rsidR="00004D73" w:rsidRDefault="00004D73">
            <w:pPr>
              <w:spacing w:line="320" w:lineRule="exact"/>
              <w:jc w:val="center"/>
              <w:rPr>
                <w:color w:val="000000"/>
                <w:sz w:val="18"/>
                <w:szCs w:val="18"/>
              </w:rPr>
            </w:pPr>
            <w:r>
              <w:rPr>
                <w:color w:val="000000"/>
                <w:sz w:val="18"/>
                <w:szCs w:val="18"/>
              </w:rPr>
              <w:t>n</w:t>
            </w:r>
          </w:p>
        </w:tc>
        <w:tc>
          <w:tcPr>
            <w:tcW w:w="592" w:type="pct"/>
            <w:gridSpan w:val="2"/>
            <w:tcBorders>
              <w:top w:val="single" w:sz="4" w:space="0" w:color="auto"/>
              <w:left w:val="single" w:sz="4" w:space="0" w:color="auto"/>
              <w:bottom w:val="single" w:sz="4" w:space="0" w:color="auto"/>
              <w:right w:val="single" w:sz="4" w:space="0" w:color="auto"/>
            </w:tcBorders>
            <w:vAlign w:val="center"/>
            <w:hideMark/>
          </w:tcPr>
          <w:p w:rsidR="00004D73" w:rsidRDefault="00004D73">
            <w:pPr>
              <w:spacing w:line="320" w:lineRule="exact"/>
              <w:jc w:val="center"/>
              <w:rPr>
                <w:color w:val="000000"/>
                <w:sz w:val="18"/>
                <w:szCs w:val="18"/>
              </w:rPr>
            </w:pPr>
            <w:r>
              <w:rPr>
                <w:color w:val="000000"/>
                <w:sz w:val="18"/>
                <w:szCs w:val="18"/>
              </w:rPr>
              <w:t>c</w:t>
            </w:r>
          </w:p>
        </w:tc>
        <w:tc>
          <w:tcPr>
            <w:tcW w:w="592" w:type="pct"/>
            <w:tcBorders>
              <w:top w:val="single" w:sz="4" w:space="0" w:color="auto"/>
              <w:left w:val="single" w:sz="4" w:space="0" w:color="auto"/>
              <w:bottom w:val="single" w:sz="4" w:space="0" w:color="auto"/>
              <w:right w:val="single" w:sz="4" w:space="0" w:color="auto"/>
            </w:tcBorders>
            <w:vAlign w:val="center"/>
            <w:hideMark/>
          </w:tcPr>
          <w:p w:rsidR="00004D73" w:rsidRDefault="00004D73">
            <w:pPr>
              <w:spacing w:line="320" w:lineRule="exact"/>
              <w:jc w:val="center"/>
              <w:rPr>
                <w:color w:val="000000"/>
                <w:sz w:val="18"/>
                <w:szCs w:val="18"/>
              </w:rPr>
            </w:pPr>
            <w:r>
              <w:rPr>
                <w:color w:val="000000"/>
                <w:sz w:val="18"/>
                <w:szCs w:val="18"/>
              </w:rPr>
              <w:t>m</w:t>
            </w:r>
          </w:p>
        </w:tc>
        <w:tc>
          <w:tcPr>
            <w:tcW w:w="621" w:type="pct"/>
            <w:tcBorders>
              <w:top w:val="single" w:sz="4" w:space="0" w:color="auto"/>
              <w:left w:val="single" w:sz="4" w:space="0" w:color="auto"/>
              <w:bottom w:val="single" w:sz="4" w:space="0" w:color="auto"/>
              <w:right w:val="single" w:sz="4" w:space="0" w:color="auto"/>
            </w:tcBorders>
            <w:vAlign w:val="center"/>
            <w:hideMark/>
          </w:tcPr>
          <w:p w:rsidR="00004D73" w:rsidRDefault="00004D73">
            <w:pPr>
              <w:spacing w:line="320" w:lineRule="exact"/>
              <w:jc w:val="center"/>
              <w:rPr>
                <w:color w:val="000000"/>
                <w:sz w:val="18"/>
                <w:szCs w:val="18"/>
              </w:rPr>
            </w:pPr>
            <w:r>
              <w:rPr>
                <w:color w:val="000000"/>
                <w:sz w:val="18"/>
                <w:szCs w:val="18"/>
              </w:rPr>
              <w:t>M</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04D73" w:rsidRDefault="00004D73">
            <w:pPr>
              <w:widowControl/>
              <w:jc w:val="left"/>
              <w:rPr>
                <w:color w:val="000000"/>
                <w:sz w:val="18"/>
                <w:szCs w:val="18"/>
              </w:rPr>
            </w:pPr>
          </w:p>
        </w:tc>
      </w:tr>
      <w:tr w:rsidR="00004D73" w:rsidTr="00004D73">
        <w:trPr>
          <w:trHeight w:val="20"/>
        </w:trPr>
        <w:tc>
          <w:tcPr>
            <w:tcW w:w="1109" w:type="pct"/>
            <w:tcBorders>
              <w:top w:val="single" w:sz="4" w:space="0" w:color="auto"/>
              <w:left w:val="single" w:sz="4" w:space="0" w:color="auto"/>
              <w:bottom w:val="single" w:sz="4" w:space="0" w:color="auto"/>
              <w:right w:val="single" w:sz="4" w:space="0" w:color="auto"/>
            </w:tcBorders>
            <w:vAlign w:val="center"/>
            <w:hideMark/>
          </w:tcPr>
          <w:p w:rsidR="00004D73" w:rsidRDefault="00004D73">
            <w:pPr>
              <w:spacing w:line="320" w:lineRule="exact"/>
              <w:rPr>
                <w:color w:val="000000"/>
                <w:sz w:val="18"/>
                <w:szCs w:val="18"/>
                <w:vertAlign w:val="superscript"/>
              </w:rPr>
            </w:pPr>
            <w:r>
              <w:rPr>
                <w:rFonts w:hint="eastAsia"/>
                <w:color w:val="000000"/>
                <w:sz w:val="18"/>
                <w:szCs w:val="18"/>
              </w:rPr>
              <w:t>菌落总数</w:t>
            </w:r>
            <w:bookmarkStart w:id="0" w:name="OLE_LINK2"/>
            <w:r>
              <w:rPr>
                <w:color w:val="000000"/>
                <w:sz w:val="18"/>
                <w:szCs w:val="18"/>
              </w:rPr>
              <w:t>/</w:t>
            </w:r>
            <w:r>
              <w:rPr>
                <w:rFonts w:hint="eastAsia"/>
                <w:color w:val="000000"/>
                <w:sz w:val="18"/>
                <w:szCs w:val="18"/>
              </w:rPr>
              <w:t>（</w:t>
            </w:r>
            <w:r>
              <w:rPr>
                <w:color w:val="000000"/>
                <w:sz w:val="18"/>
                <w:szCs w:val="18"/>
              </w:rPr>
              <w:t>CFU/g</w:t>
            </w:r>
            <w:r>
              <w:rPr>
                <w:rFonts w:hint="eastAsia"/>
                <w:color w:val="000000"/>
                <w:sz w:val="18"/>
                <w:szCs w:val="18"/>
              </w:rPr>
              <w:t>）</w:t>
            </w:r>
            <w:bookmarkEnd w:id="0"/>
          </w:p>
        </w:tc>
        <w:tc>
          <w:tcPr>
            <w:tcW w:w="592" w:type="pct"/>
            <w:tcBorders>
              <w:top w:val="single" w:sz="4" w:space="0" w:color="auto"/>
              <w:left w:val="single" w:sz="4" w:space="0" w:color="auto"/>
              <w:bottom w:val="single" w:sz="4" w:space="0" w:color="auto"/>
              <w:right w:val="single" w:sz="4" w:space="0" w:color="auto"/>
            </w:tcBorders>
            <w:vAlign w:val="center"/>
            <w:hideMark/>
          </w:tcPr>
          <w:p w:rsidR="00004D73" w:rsidRDefault="00004D73">
            <w:pPr>
              <w:spacing w:line="320" w:lineRule="exact"/>
              <w:jc w:val="center"/>
              <w:rPr>
                <w:color w:val="000000"/>
                <w:sz w:val="18"/>
                <w:szCs w:val="18"/>
                <w:lang w:val="pt-BR"/>
              </w:rPr>
            </w:pPr>
            <w:r>
              <w:rPr>
                <w:color w:val="000000"/>
                <w:sz w:val="18"/>
                <w:szCs w:val="18"/>
                <w:lang w:val="pt-BR"/>
              </w:rPr>
              <w:t>5</w:t>
            </w:r>
          </w:p>
        </w:tc>
        <w:tc>
          <w:tcPr>
            <w:tcW w:w="592" w:type="pct"/>
            <w:gridSpan w:val="2"/>
            <w:tcBorders>
              <w:top w:val="single" w:sz="4" w:space="0" w:color="auto"/>
              <w:left w:val="single" w:sz="4" w:space="0" w:color="auto"/>
              <w:bottom w:val="single" w:sz="4" w:space="0" w:color="auto"/>
              <w:right w:val="single" w:sz="4" w:space="0" w:color="auto"/>
            </w:tcBorders>
            <w:vAlign w:val="center"/>
            <w:hideMark/>
          </w:tcPr>
          <w:p w:rsidR="00004D73" w:rsidRDefault="00004D73">
            <w:pPr>
              <w:spacing w:line="320" w:lineRule="exact"/>
              <w:jc w:val="center"/>
              <w:rPr>
                <w:color w:val="000000"/>
                <w:sz w:val="18"/>
                <w:szCs w:val="18"/>
              </w:rPr>
            </w:pPr>
            <w:r>
              <w:rPr>
                <w:color w:val="000000"/>
                <w:sz w:val="18"/>
                <w:szCs w:val="18"/>
              </w:rPr>
              <w:t>1</w:t>
            </w:r>
          </w:p>
        </w:tc>
        <w:tc>
          <w:tcPr>
            <w:tcW w:w="592" w:type="pct"/>
            <w:tcBorders>
              <w:top w:val="single" w:sz="4" w:space="0" w:color="auto"/>
              <w:left w:val="single" w:sz="4" w:space="0" w:color="auto"/>
              <w:bottom w:val="single" w:sz="4" w:space="0" w:color="auto"/>
              <w:right w:val="single" w:sz="4" w:space="0" w:color="auto"/>
            </w:tcBorders>
            <w:vAlign w:val="center"/>
            <w:hideMark/>
          </w:tcPr>
          <w:p w:rsidR="00004D73" w:rsidRDefault="00004D73">
            <w:pPr>
              <w:spacing w:line="320" w:lineRule="exact"/>
              <w:jc w:val="center"/>
              <w:rPr>
                <w:color w:val="000000"/>
                <w:sz w:val="18"/>
                <w:szCs w:val="18"/>
              </w:rPr>
            </w:pPr>
            <w:r>
              <w:rPr>
                <w:color w:val="000000"/>
                <w:sz w:val="18"/>
                <w:szCs w:val="18"/>
              </w:rPr>
              <w:t>10</w:t>
            </w:r>
            <w:r>
              <w:rPr>
                <w:color w:val="000000"/>
                <w:sz w:val="18"/>
                <w:szCs w:val="18"/>
                <w:vertAlign w:val="superscript"/>
              </w:rPr>
              <w:t>4</w:t>
            </w:r>
          </w:p>
        </w:tc>
        <w:tc>
          <w:tcPr>
            <w:tcW w:w="621" w:type="pct"/>
            <w:tcBorders>
              <w:top w:val="single" w:sz="4" w:space="0" w:color="auto"/>
              <w:left w:val="single" w:sz="4" w:space="0" w:color="auto"/>
              <w:bottom w:val="single" w:sz="4" w:space="0" w:color="auto"/>
              <w:right w:val="single" w:sz="4" w:space="0" w:color="auto"/>
            </w:tcBorders>
            <w:vAlign w:val="center"/>
            <w:hideMark/>
          </w:tcPr>
          <w:p w:rsidR="00004D73" w:rsidRDefault="00004D73">
            <w:pPr>
              <w:spacing w:line="320" w:lineRule="exact"/>
              <w:jc w:val="center"/>
              <w:rPr>
                <w:color w:val="000000"/>
                <w:sz w:val="18"/>
                <w:szCs w:val="18"/>
                <w:vertAlign w:val="superscript"/>
              </w:rPr>
            </w:pPr>
            <w:r>
              <w:rPr>
                <w:color w:val="000000"/>
                <w:sz w:val="18"/>
                <w:szCs w:val="18"/>
              </w:rPr>
              <w:t>10</w:t>
            </w:r>
            <w:r>
              <w:rPr>
                <w:color w:val="000000"/>
                <w:sz w:val="18"/>
                <w:szCs w:val="18"/>
                <w:vertAlign w:val="superscript"/>
              </w:rPr>
              <w:t>5</w:t>
            </w:r>
          </w:p>
        </w:tc>
        <w:tc>
          <w:tcPr>
            <w:tcW w:w="1493" w:type="pct"/>
            <w:tcBorders>
              <w:top w:val="single" w:sz="4" w:space="0" w:color="auto"/>
              <w:left w:val="single" w:sz="4" w:space="0" w:color="auto"/>
              <w:bottom w:val="single" w:sz="4" w:space="0" w:color="auto"/>
              <w:right w:val="single" w:sz="4" w:space="0" w:color="auto"/>
            </w:tcBorders>
            <w:vAlign w:val="center"/>
            <w:hideMark/>
          </w:tcPr>
          <w:p w:rsidR="00004D73" w:rsidRDefault="00004D73">
            <w:pPr>
              <w:spacing w:line="320" w:lineRule="exact"/>
              <w:jc w:val="center"/>
              <w:rPr>
                <w:color w:val="000000"/>
                <w:sz w:val="18"/>
                <w:szCs w:val="18"/>
              </w:rPr>
            </w:pPr>
            <w:r>
              <w:rPr>
                <w:color w:val="000000"/>
                <w:sz w:val="18"/>
                <w:szCs w:val="18"/>
              </w:rPr>
              <w:t>GB 4789.2</w:t>
            </w:r>
          </w:p>
        </w:tc>
      </w:tr>
      <w:tr w:rsidR="00004D73" w:rsidTr="00004D73">
        <w:trPr>
          <w:trHeight w:val="20"/>
        </w:trPr>
        <w:tc>
          <w:tcPr>
            <w:tcW w:w="1109" w:type="pct"/>
            <w:tcBorders>
              <w:top w:val="single" w:sz="4" w:space="0" w:color="auto"/>
              <w:left w:val="single" w:sz="4" w:space="0" w:color="auto"/>
              <w:bottom w:val="single" w:sz="4" w:space="0" w:color="auto"/>
              <w:right w:val="single" w:sz="4" w:space="0" w:color="auto"/>
            </w:tcBorders>
            <w:vAlign w:val="center"/>
            <w:hideMark/>
          </w:tcPr>
          <w:p w:rsidR="00004D73" w:rsidRDefault="00004D73">
            <w:pPr>
              <w:spacing w:line="320" w:lineRule="exact"/>
              <w:rPr>
                <w:sz w:val="18"/>
                <w:szCs w:val="18"/>
                <w:vertAlign w:val="superscript"/>
              </w:rPr>
            </w:pPr>
            <w:r>
              <w:rPr>
                <w:rFonts w:hint="eastAsia"/>
                <w:sz w:val="18"/>
                <w:szCs w:val="18"/>
              </w:rPr>
              <w:t>大肠菌群</w:t>
            </w:r>
            <w:r>
              <w:rPr>
                <w:sz w:val="18"/>
                <w:szCs w:val="18"/>
              </w:rPr>
              <w:t>/</w:t>
            </w:r>
            <w:r>
              <w:rPr>
                <w:rFonts w:hint="eastAsia"/>
                <w:sz w:val="18"/>
                <w:szCs w:val="18"/>
              </w:rPr>
              <w:t>（</w:t>
            </w:r>
            <w:r>
              <w:rPr>
                <w:sz w:val="18"/>
                <w:szCs w:val="18"/>
              </w:rPr>
              <w:t>CFU/g</w:t>
            </w:r>
            <w:r>
              <w:rPr>
                <w:rFonts w:hint="eastAsia"/>
                <w:sz w:val="18"/>
                <w:szCs w:val="18"/>
              </w:rPr>
              <w:t>）</w:t>
            </w:r>
          </w:p>
        </w:tc>
        <w:tc>
          <w:tcPr>
            <w:tcW w:w="599" w:type="pct"/>
            <w:gridSpan w:val="2"/>
            <w:tcBorders>
              <w:top w:val="single" w:sz="4" w:space="0" w:color="auto"/>
              <w:left w:val="single" w:sz="4" w:space="0" w:color="auto"/>
              <w:bottom w:val="single" w:sz="4" w:space="0" w:color="auto"/>
              <w:right w:val="single" w:sz="4" w:space="0" w:color="auto"/>
            </w:tcBorders>
            <w:vAlign w:val="center"/>
            <w:hideMark/>
          </w:tcPr>
          <w:p w:rsidR="00004D73" w:rsidRDefault="00004D73">
            <w:pPr>
              <w:spacing w:line="320" w:lineRule="exact"/>
              <w:jc w:val="center"/>
              <w:rPr>
                <w:sz w:val="18"/>
                <w:szCs w:val="18"/>
              </w:rPr>
            </w:pPr>
            <w:r>
              <w:rPr>
                <w:sz w:val="18"/>
                <w:szCs w:val="18"/>
              </w:rPr>
              <w:t>5</w:t>
            </w:r>
          </w:p>
        </w:tc>
        <w:tc>
          <w:tcPr>
            <w:tcW w:w="586" w:type="pct"/>
            <w:tcBorders>
              <w:top w:val="single" w:sz="4" w:space="0" w:color="auto"/>
              <w:left w:val="single" w:sz="4" w:space="0" w:color="auto"/>
              <w:bottom w:val="single" w:sz="4" w:space="0" w:color="auto"/>
              <w:right w:val="single" w:sz="4" w:space="0" w:color="auto"/>
            </w:tcBorders>
            <w:vAlign w:val="center"/>
            <w:hideMark/>
          </w:tcPr>
          <w:p w:rsidR="00004D73" w:rsidRDefault="00004D73">
            <w:pPr>
              <w:spacing w:line="320" w:lineRule="exact"/>
              <w:jc w:val="center"/>
              <w:rPr>
                <w:sz w:val="18"/>
                <w:szCs w:val="18"/>
              </w:rPr>
            </w:pPr>
            <w:r>
              <w:rPr>
                <w:sz w:val="18"/>
                <w:szCs w:val="18"/>
              </w:rPr>
              <w:t>2</w:t>
            </w:r>
          </w:p>
        </w:tc>
        <w:tc>
          <w:tcPr>
            <w:tcW w:w="592" w:type="pct"/>
            <w:tcBorders>
              <w:top w:val="single" w:sz="4" w:space="0" w:color="auto"/>
              <w:left w:val="single" w:sz="4" w:space="0" w:color="auto"/>
              <w:bottom w:val="single" w:sz="4" w:space="0" w:color="auto"/>
              <w:right w:val="single" w:sz="4" w:space="0" w:color="auto"/>
            </w:tcBorders>
            <w:vAlign w:val="center"/>
            <w:hideMark/>
          </w:tcPr>
          <w:p w:rsidR="00004D73" w:rsidRDefault="00004D73">
            <w:pPr>
              <w:spacing w:line="320" w:lineRule="exact"/>
              <w:jc w:val="center"/>
              <w:rPr>
                <w:sz w:val="18"/>
                <w:szCs w:val="18"/>
              </w:rPr>
            </w:pPr>
            <w:r>
              <w:rPr>
                <w:sz w:val="18"/>
                <w:szCs w:val="18"/>
              </w:rPr>
              <w:t>10</w:t>
            </w:r>
          </w:p>
        </w:tc>
        <w:tc>
          <w:tcPr>
            <w:tcW w:w="621" w:type="pct"/>
            <w:tcBorders>
              <w:top w:val="single" w:sz="4" w:space="0" w:color="auto"/>
              <w:left w:val="single" w:sz="4" w:space="0" w:color="auto"/>
              <w:bottom w:val="single" w:sz="4" w:space="0" w:color="auto"/>
              <w:right w:val="single" w:sz="4" w:space="0" w:color="auto"/>
            </w:tcBorders>
            <w:vAlign w:val="center"/>
            <w:hideMark/>
          </w:tcPr>
          <w:p w:rsidR="00004D73" w:rsidRDefault="00004D73">
            <w:pPr>
              <w:spacing w:line="320" w:lineRule="exact"/>
              <w:jc w:val="center"/>
              <w:rPr>
                <w:sz w:val="18"/>
                <w:szCs w:val="18"/>
              </w:rPr>
            </w:pPr>
            <w:r>
              <w:rPr>
                <w:sz w:val="18"/>
                <w:szCs w:val="18"/>
              </w:rPr>
              <w:t>100</w:t>
            </w:r>
          </w:p>
        </w:tc>
        <w:tc>
          <w:tcPr>
            <w:tcW w:w="1493" w:type="pct"/>
            <w:tcBorders>
              <w:top w:val="single" w:sz="4" w:space="0" w:color="auto"/>
              <w:left w:val="single" w:sz="4" w:space="0" w:color="auto"/>
              <w:bottom w:val="single" w:sz="4" w:space="0" w:color="auto"/>
              <w:right w:val="single" w:sz="4" w:space="0" w:color="auto"/>
            </w:tcBorders>
            <w:vAlign w:val="center"/>
            <w:hideMark/>
          </w:tcPr>
          <w:p w:rsidR="00004D73" w:rsidRDefault="00004D73">
            <w:pPr>
              <w:spacing w:line="320" w:lineRule="exact"/>
              <w:jc w:val="center"/>
              <w:rPr>
                <w:sz w:val="18"/>
                <w:szCs w:val="18"/>
              </w:rPr>
            </w:pPr>
            <w:r>
              <w:rPr>
                <w:sz w:val="18"/>
                <w:szCs w:val="18"/>
              </w:rPr>
              <w:t>GB 4789.3</w:t>
            </w:r>
          </w:p>
        </w:tc>
      </w:tr>
      <w:tr w:rsidR="00004D73" w:rsidTr="00004D73">
        <w:trPr>
          <w:trHeight w:val="20"/>
        </w:trPr>
        <w:tc>
          <w:tcPr>
            <w:tcW w:w="1109" w:type="pct"/>
            <w:tcBorders>
              <w:top w:val="single" w:sz="4" w:space="0" w:color="auto"/>
              <w:left w:val="single" w:sz="4" w:space="0" w:color="auto"/>
              <w:bottom w:val="single" w:sz="4" w:space="0" w:color="auto"/>
              <w:right w:val="single" w:sz="4" w:space="0" w:color="auto"/>
            </w:tcBorders>
            <w:vAlign w:val="center"/>
            <w:hideMark/>
          </w:tcPr>
          <w:p w:rsidR="00004D73" w:rsidRDefault="00004D73">
            <w:pPr>
              <w:spacing w:line="320" w:lineRule="exact"/>
              <w:rPr>
                <w:color w:val="000000"/>
                <w:sz w:val="18"/>
                <w:szCs w:val="18"/>
              </w:rPr>
            </w:pPr>
            <w:r>
              <w:rPr>
                <w:rFonts w:hint="eastAsia"/>
                <w:sz w:val="18"/>
                <w:szCs w:val="18"/>
              </w:rPr>
              <w:t>霉菌</w:t>
            </w:r>
            <w:r>
              <w:rPr>
                <w:color w:val="000000"/>
                <w:sz w:val="18"/>
                <w:szCs w:val="18"/>
              </w:rPr>
              <w:t>/</w:t>
            </w:r>
            <w:r>
              <w:rPr>
                <w:rFonts w:hint="eastAsia"/>
                <w:color w:val="000000"/>
                <w:sz w:val="18"/>
                <w:szCs w:val="18"/>
              </w:rPr>
              <w:t>（</w:t>
            </w:r>
            <w:r>
              <w:rPr>
                <w:color w:val="000000"/>
                <w:sz w:val="18"/>
                <w:szCs w:val="18"/>
              </w:rPr>
              <w:t>CFU/g</w:t>
            </w:r>
            <w:r>
              <w:rPr>
                <w:rFonts w:hint="eastAsia"/>
                <w:color w:val="000000"/>
                <w:sz w:val="18"/>
                <w:szCs w:val="18"/>
              </w:rPr>
              <w:t>）</w:t>
            </w:r>
            <w:r>
              <w:rPr>
                <w:color w:val="000000"/>
                <w:sz w:val="18"/>
                <w:szCs w:val="18"/>
              </w:rPr>
              <w:t xml:space="preserve">     ≤</w:t>
            </w:r>
          </w:p>
        </w:tc>
        <w:tc>
          <w:tcPr>
            <w:tcW w:w="2398" w:type="pct"/>
            <w:gridSpan w:val="5"/>
            <w:tcBorders>
              <w:top w:val="single" w:sz="4" w:space="0" w:color="auto"/>
              <w:left w:val="single" w:sz="4" w:space="0" w:color="auto"/>
              <w:bottom w:val="single" w:sz="4" w:space="0" w:color="auto"/>
              <w:right w:val="single" w:sz="4" w:space="0" w:color="auto"/>
            </w:tcBorders>
            <w:vAlign w:val="center"/>
            <w:hideMark/>
          </w:tcPr>
          <w:p w:rsidR="00004D73" w:rsidRDefault="00004D73">
            <w:pPr>
              <w:spacing w:line="320" w:lineRule="exact"/>
              <w:jc w:val="center"/>
              <w:rPr>
                <w:color w:val="000000"/>
                <w:sz w:val="18"/>
                <w:szCs w:val="18"/>
              </w:rPr>
            </w:pPr>
            <w:r>
              <w:rPr>
                <w:color w:val="000000"/>
                <w:sz w:val="18"/>
                <w:szCs w:val="18"/>
              </w:rPr>
              <w:t>150</w:t>
            </w:r>
          </w:p>
        </w:tc>
        <w:tc>
          <w:tcPr>
            <w:tcW w:w="1493" w:type="pct"/>
            <w:tcBorders>
              <w:top w:val="single" w:sz="4" w:space="0" w:color="auto"/>
              <w:left w:val="single" w:sz="4" w:space="0" w:color="auto"/>
              <w:bottom w:val="single" w:sz="4" w:space="0" w:color="auto"/>
              <w:right w:val="single" w:sz="4" w:space="0" w:color="auto"/>
            </w:tcBorders>
            <w:vAlign w:val="center"/>
            <w:hideMark/>
          </w:tcPr>
          <w:p w:rsidR="00004D73" w:rsidRDefault="00004D73">
            <w:pPr>
              <w:spacing w:line="320" w:lineRule="exact"/>
              <w:jc w:val="center"/>
              <w:rPr>
                <w:color w:val="000000"/>
                <w:sz w:val="18"/>
                <w:szCs w:val="18"/>
              </w:rPr>
            </w:pPr>
            <w:r>
              <w:rPr>
                <w:color w:val="000000"/>
                <w:sz w:val="18"/>
                <w:szCs w:val="18"/>
              </w:rPr>
              <w:t>GB 4789.15</w:t>
            </w:r>
          </w:p>
        </w:tc>
      </w:tr>
      <w:tr w:rsidR="00004D73" w:rsidTr="00004D73">
        <w:trPr>
          <w:trHeight w:val="20"/>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rsidR="00004D73" w:rsidRDefault="00004D73">
            <w:pPr>
              <w:spacing w:line="320" w:lineRule="exact"/>
              <w:rPr>
                <w:color w:val="000000"/>
                <w:sz w:val="18"/>
                <w:szCs w:val="18"/>
                <w:vertAlign w:val="superscript"/>
              </w:rPr>
            </w:pPr>
            <w:r>
              <w:rPr>
                <w:color w:val="000000"/>
                <w:sz w:val="18"/>
                <w:szCs w:val="18"/>
                <w:vertAlign w:val="superscript"/>
              </w:rPr>
              <w:t xml:space="preserve">  a</w:t>
            </w:r>
            <w:r>
              <w:rPr>
                <w:rFonts w:hint="eastAsia"/>
                <w:color w:val="000000"/>
                <w:sz w:val="18"/>
                <w:szCs w:val="18"/>
              </w:rPr>
              <w:t>样品的采样及处理按</w:t>
            </w:r>
            <w:r>
              <w:rPr>
                <w:color w:val="000000"/>
                <w:sz w:val="18"/>
                <w:szCs w:val="18"/>
              </w:rPr>
              <w:t>GB 4789.1</w:t>
            </w:r>
            <w:r>
              <w:rPr>
                <w:rFonts w:hint="eastAsia"/>
                <w:color w:val="000000"/>
                <w:sz w:val="18"/>
                <w:szCs w:val="18"/>
              </w:rPr>
              <w:t>执行。</w:t>
            </w:r>
            <w:r>
              <w:rPr>
                <w:color w:val="000000"/>
                <w:sz w:val="18"/>
                <w:szCs w:val="18"/>
                <w:vertAlign w:val="superscript"/>
              </w:rPr>
              <w:t xml:space="preserve"> </w:t>
            </w:r>
          </w:p>
        </w:tc>
      </w:tr>
    </w:tbl>
    <w:p w:rsidR="00004D73" w:rsidRDefault="00004D73" w:rsidP="00004D73">
      <w:pPr>
        <w:spacing w:line="320" w:lineRule="exact"/>
        <w:ind w:firstLineChars="200" w:firstLine="420"/>
        <w:jc w:val="left"/>
        <w:rPr>
          <w:rFonts w:hint="eastAsia"/>
          <w:b/>
          <w:kern w:val="0"/>
          <w:szCs w:val="21"/>
        </w:rPr>
      </w:pPr>
      <w:r>
        <w:rPr>
          <w:kern w:val="0"/>
          <w:szCs w:val="21"/>
        </w:rPr>
        <w:t>6</w:t>
      </w:r>
      <w:r>
        <w:rPr>
          <w:rFonts w:hint="eastAsia"/>
          <w:kern w:val="0"/>
          <w:szCs w:val="21"/>
        </w:rPr>
        <w:t>、食品添加剂使用规定</w:t>
      </w:r>
    </w:p>
    <w:p w:rsidR="00004D73" w:rsidRDefault="00004D73" w:rsidP="00004D73">
      <w:pPr>
        <w:spacing w:line="320" w:lineRule="exact"/>
        <w:ind w:firstLine="420"/>
        <w:rPr>
          <w:szCs w:val="21"/>
        </w:rPr>
      </w:pPr>
      <w:r>
        <w:rPr>
          <w:rFonts w:hint="eastAsia"/>
          <w:szCs w:val="21"/>
        </w:rPr>
        <w:t>遵循食品添加剂使用技术要求与现行基础标准相衔接的原则，食品添加剂使用技术要求直接引用相关现行有效基础标准，即规定“食品添加剂的使用应符合</w:t>
      </w:r>
      <w:r>
        <w:rPr>
          <w:szCs w:val="21"/>
        </w:rPr>
        <w:t>GB 2760</w:t>
      </w:r>
      <w:r>
        <w:rPr>
          <w:rFonts w:hAnsi="宋体" w:hint="eastAsia"/>
          <w:color w:val="000000"/>
        </w:rPr>
        <w:t>中方便米面制品</w:t>
      </w:r>
      <w:r>
        <w:rPr>
          <w:rFonts w:hint="eastAsia"/>
          <w:szCs w:val="21"/>
        </w:rPr>
        <w:t>的规定。”</w:t>
      </w:r>
    </w:p>
    <w:p w:rsidR="00004D73" w:rsidRDefault="00004D73" w:rsidP="00004D73">
      <w:pPr>
        <w:spacing w:line="320" w:lineRule="exact"/>
        <w:rPr>
          <w:rFonts w:ascii="黑体" w:eastAsia="黑体" w:hAnsi="黑体"/>
          <w:szCs w:val="21"/>
        </w:rPr>
      </w:pPr>
      <w:r>
        <w:rPr>
          <w:rFonts w:ascii="黑体" w:eastAsia="黑体" w:hAnsi="黑体" w:hint="eastAsia"/>
          <w:szCs w:val="21"/>
        </w:rPr>
        <w:t>三、国内国际相关标准情况</w:t>
      </w:r>
    </w:p>
    <w:p w:rsidR="00004D73" w:rsidRDefault="00004D73" w:rsidP="00004D73">
      <w:pPr>
        <w:spacing w:line="320" w:lineRule="exact"/>
        <w:ind w:firstLineChars="200" w:firstLine="420"/>
        <w:rPr>
          <w:rFonts w:hint="eastAsia"/>
          <w:bCs/>
          <w:szCs w:val="21"/>
        </w:rPr>
      </w:pPr>
      <w:r>
        <w:rPr>
          <w:rFonts w:hint="eastAsia"/>
          <w:bCs/>
          <w:szCs w:val="21"/>
        </w:rPr>
        <w:t>国内相关的产品标准有《调味面制品》（</w:t>
      </w:r>
      <w:r>
        <w:rPr>
          <w:bCs/>
          <w:szCs w:val="21"/>
        </w:rPr>
        <w:t xml:space="preserve"> DBS 50/ 028-2017</w:t>
      </w:r>
      <w:r>
        <w:rPr>
          <w:rFonts w:hint="eastAsia"/>
          <w:bCs/>
          <w:szCs w:val="21"/>
        </w:rPr>
        <w:t>）、《调味面制食品》（</w:t>
      </w:r>
      <w:r>
        <w:rPr>
          <w:bCs/>
          <w:szCs w:val="21"/>
        </w:rPr>
        <w:t>DB41/515-2007</w:t>
      </w:r>
      <w:r>
        <w:rPr>
          <w:rFonts w:hint="eastAsia"/>
          <w:bCs/>
          <w:szCs w:val="21"/>
        </w:rPr>
        <w:t>）、《湘式挤压糕点》（</w:t>
      </w:r>
      <w:r>
        <w:rPr>
          <w:bCs/>
          <w:szCs w:val="21"/>
        </w:rPr>
        <w:t>DBS43/002-2012</w:t>
      </w:r>
      <w:r>
        <w:rPr>
          <w:rFonts w:hint="eastAsia"/>
          <w:bCs/>
          <w:szCs w:val="21"/>
        </w:rPr>
        <w:t>）、《绿色食品</w:t>
      </w:r>
      <w:r>
        <w:rPr>
          <w:bCs/>
          <w:szCs w:val="21"/>
        </w:rPr>
        <w:t xml:space="preserve"> </w:t>
      </w:r>
      <w:r>
        <w:rPr>
          <w:rFonts w:hint="eastAsia"/>
          <w:bCs/>
          <w:szCs w:val="21"/>
        </w:rPr>
        <w:t>湘式挤压糕点》（</w:t>
      </w:r>
      <w:r>
        <w:rPr>
          <w:bCs/>
          <w:szCs w:val="21"/>
        </w:rPr>
        <w:t>NY/T 2988-2016</w:t>
      </w:r>
      <w:r>
        <w:rPr>
          <w:rFonts w:hint="eastAsia"/>
          <w:bCs/>
          <w:szCs w:val="21"/>
        </w:rPr>
        <w:t>）等。</w:t>
      </w:r>
    </w:p>
    <w:p w:rsidR="00004D73" w:rsidRDefault="00004D73" w:rsidP="00004D73">
      <w:pPr>
        <w:adjustRightInd w:val="0"/>
        <w:snapToGrid w:val="0"/>
        <w:spacing w:line="320" w:lineRule="exact"/>
        <w:ind w:firstLineChars="200" w:firstLine="420"/>
        <w:jc w:val="left"/>
        <w:rPr>
          <w:kern w:val="0"/>
          <w:szCs w:val="21"/>
        </w:rPr>
      </w:pPr>
      <w:r>
        <w:rPr>
          <w:rFonts w:hint="eastAsia"/>
          <w:szCs w:val="21"/>
        </w:rPr>
        <w:t>调味面制品</w:t>
      </w:r>
      <w:r>
        <w:rPr>
          <w:rFonts w:hint="eastAsia"/>
          <w:kern w:val="0"/>
          <w:szCs w:val="21"/>
        </w:rPr>
        <w:t>是我国近年来逐步发展实现规模化生产的食品产业，具有典型的中国特色和原创特征，国外没有同类产品，目前尚未发现相关的国外标准或国际标准。</w:t>
      </w:r>
    </w:p>
    <w:p w:rsidR="00004D73" w:rsidRDefault="00004D73" w:rsidP="00004D73">
      <w:pPr>
        <w:spacing w:line="320" w:lineRule="exact"/>
        <w:jc w:val="left"/>
        <w:rPr>
          <w:rFonts w:ascii="黑体" w:eastAsia="黑体" w:hAnsi="黑体"/>
          <w:kern w:val="0"/>
          <w:szCs w:val="21"/>
        </w:rPr>
      </w:pPr>
      <w:r>
        <w:rPr>
          <w:rFonts w:ascii="黑体" w:eastAsia="黑体" w:hAnsi="黑体" w:hint="eastAsia"/>
          <w:kern w:val="0"/>
          <w:szCs w:val="21"/>
        </w:rPr>
        <w:t>四、其他需要在网上公开说明的事项</w:t>
      </w:r>
    </w:p>
    <w:p w:rsidR="00004D73" w:rsidRDefault="00004D73" w:rsidP="00004D73">
      <w:pPr>
        <w:spacing w:line="320" w:lineRule="exact"/>
        <w:ind w:firstLineChars="200" w:firstLine="420"/>
        <w:jc w:val="left"/>
        <w:rPr>
          <w:rFonts w:hint="eastAsia"/>
          <w:bCs/>
          <w:szCs w:val="21"/>
        </w:rPr>
      </w:pPr>
      <w:r>
        <w:rPr>
          <w:rFonts w:hint="eastAsia"/>
          <w:bCs/>
          <w:szCs w:val="21"/>
        </w:rPr>
        <w:t>无。</w:t>
      </w:r>
    </w:p>
    <w:p w:rsidR="00C416DA" w:rsidRDefault="00C416DA">
      <w:bookmarkStart w:id="1" w:name="_GoBack"/>
      <w:bookmarkEnd w:id="1"/>
    </w:p>
    <w:sectPr w:rsidR="00C416D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52E1" w:rsidRDefault="00C952E1" w:rsidP="00004D73">
      <w:r>
        <w:separator/>
      </w:r>
    </w:p>
  </w:endnote>
  <w:endnote w:type="continuationSeparator" w:id="0">
    <w:p w:rsidR="00C952E1" w:rsidRDefault="00C952E1" w:rsidP="00004D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52E1" w:rsidRDefault="00C952E1" w:rsidP="00004D73">
      <w:r>
        <w:separator/>
      </w:r>
    </w:p>
  </w:footnote>
  <w:footnote w:type="continuationSeparator" w:id="0">
    <w:p w:rsidR="00C952E1" w:rsidRDefault="00C952E1" w:rsidP="00004D7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57AA398"/>
    <w:multiLevelType w:val="multilevel"/>
    <w:tmpl w:val="BA38AA68"/>
    <w:lvl w:ilvl="0">
      <w:start w:val="1"/>
      <w:numFmt w:val="decimal"/>
      <w:suff w:val="nothing"/>
      <w:lvlText w:val="%1、"/>
      <w:lvlJc w:val="left"/>
      <w:pPr>
        <w:ind w:left="0" w:firstLine="0"/>
      </w:pPr>
      <w:rPr>
        <w:rFonts w:ascii="Times New Roman" w:eastAsia="黑体" w:hAnsi="Times New Roman" w:cs="Times New Roman"/>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502F"/>
    <w:rsid w:val="00004D73"/>
    <w:rsid w:val="0027502F"/>
    <w:rsid w:val="00C416DA"/>
    <w:rsid w:val="00C952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4D73"/>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04D7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04D73"/>
    <w:rPr>
      <w:sz w:val="18"/>
      <w:szCs w:val="18"/>
    </w:rPr>
  </w:style>
  <w:style w:type="paragraph" w:styleId="a4">
    <w:name w:val="footer"/>
    <w:basedOn w:val="a"/>
    <w:link w:val="Char0"/>
    <w:uiPriority w:val="99"/>
    <w:unhideWhenUsed/>
    <w:rsid w:val="00004D73"/>
    <w:pPr>
      <w:tabs>
        <w:tab w:val="center" w:pos="4153"/>
        <w:tab w:val="right" w:pos="8306"/>
      </w:tabs>
      <w:snapToGrid w:val="0"/>
      <w:jc w:val="left"/>
    </w:pPr>
    <w:rPr>
      <w:sz w:val="18"/>
      <w:szCs w:val="18"/>
    </w:rPr>
  </w:style>
  <w:style w:type="character" w:customStyle="1" w:styleId="Char0">
    <w:name w:val="页脚 Char"/>
    <w:basedOn w:val="a0"/>
    <w:link w:val="a4"/>
    <w:uiPriority w:val="99"/>
    <w:rsid w:val="00004D73"/>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4D73"/>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04D7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04D73"/>
    <w:rPr>
      <w:sz w:val="18"/>
      <w:szCs w:val="18"/>
    </w:rPr>
  </w:style>
  <w:style w:type="paragraph" w:styleId="a4">
    <w:name w:val="footer"/>
    <w:basedOn w:val="a"/>
    <w:link w:val="Char0"/>
    <w:uiPriority w:val="99"/>
    <w:unhideWhenUsed/>
    <w:rsid w:val="00004D73"/>
    <w:pPr>
      <w:tabs>
        <w:tab w:val="center" w:pos="4153"/>
        <w:tab w:val="right" w:pos="8306"/>
      </w:tabs>
      <w:snapToGrid w:val="0"/>
      <w:jc w:val="left"/>
    </w:pPr>
    <w:rPr>
      <w:sz w:val="18"/>
      <w:szCs w:val="18"/>
    </w:rPr>
  </w:style>
  <w:style w:type="character" w:customStyle="1" w:styleId="Char0">
    <w:name w:val="页脚 Char"/>
    <w:basedOn w:val="a0"/>
    <w:link w:val="a4"/>
    <w:uiPriority w:val="99"/>
    <w:rsid w:val="00004D7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4310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354</Words>
  <Characters>2023</Characters>
  <Application>Microsoft Office Word</Application>
  <DocSecurity>0</DocSecurity>
  <Lines>16</Lines>
  <Paragraphs>4</Paragraphs>
  <ScaleCrop>false</ScaleCrop>
  <Company>中华人民共和国卫生部</Company>
  <LinksUpToDate>false</LinksUpToDate>
  <CharactersWithSpaces>2373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食品司,标准管理处,宫国强</dc:creator>
  <cp:keywords/>
  <dc:description/>
  <cp:lastModifiedBy>食品司,标准管理处,宫国强</cp:lastModifiedBy>
  <cp:revision>2</cp:revision>
  <dcterms:created xsi:type="dcterms:W3CDTF">2018-05-03T07:42:00Z</dcterms:created>
  <dcterms:modified xsi:type="dcterms:W3CDTF">2018-05-03T07:42:00Z</dcterms:modified>
</cp:coreProperties>
</file>